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7080"/>
        <w:rPr>
          <w:rFonts w:ascii="Verdana" w:hAnsi="Verdana"/>
          <w:highlight w:val="yellow"/>
        </w:rPr>
      </w:pPr>
      <w:bookmarkStart w:id="0" w:name="_GoBack"/>
      <w:bookmarkEnd w:id="0"/>
    </w:p>
    <w:p>
      <w:pPr>
        <w:ind w:left="7080"/>
        <w:rPr>
          <w:rFonts w:ascii="Verdana" w:hAnsi="Verdana"/>
          <w:highlight w:val="yellow"/>
        </w:rPr>
      </w:pPr>
    </w:p>
    <w:p>
      <w:pPr>
        <w:ind w:left="7080"/>
        <w:rPr>
          <w:rFonts w:ascii="Verdana" w:hAnsi="Verdana"/>
          <w:highlight w:val="yellow"/>
        </w:rPr>
      </w:pPr>
    </w:p>
    <w:p>
      <w:pPr>
        <w:ind w:left="6372"/>
        <w:rPr>
          <w:rFonts w:ascii="Verdana" w:hAnsi="Verdana"/>
        </w:rPr>
      </w:pPr>
      <w:r>
        <w:rPr>
          <w:rFonts w:ascii="Verdana" w:hAnsi="Verdana"/>
        </w:rPr>
        <w:t>DATE : Le 9 décembre 2020</w:t>
      </w:r>
    </w:p>
    <w:p>
      <w:pPr>
        <w:pBdr>
          <w:top w:val="single" w:sz="4" w:space="1" w:color="auto"/>
          <w:left w:val="single" w:sz="4" w:space="4" w:color="auto"/>
          <w:bottom w:val="single" w:sz="4" w:space="1" w:color="auto"/>
          <w:right w:val="single" w:sz="4" w:space="4" w:color="auto"/>
        </w:pBdr>
        <w:jc w:val="center"/>
        <w:rPr>
          <w:rFonts w:ascii="Verdana" w:hAnsi="Verdana"/>
          <w:b/>
        </w:rPr>
      </w:pPr>
      <w:r>
        <w:rPr>
          <w:rFonts w:ascii="Verdana" w:hAnsi="Verdana"/>
          <w:b/>
        </w:rPr>
        <w:t xml:space="preserve">PREMIER APPEL </w:t>
      </w:r>
    </w:p>
    <w:p>
      <w:pPr>
        <w:pBdr>
          <w:top w:val="single" w:sz="4" w:space="1" w:color="auto"/>
          <w:left w:val="single" w:sz="4" w:space="4" w:color="auto"/>
          <w:bottom w:val="single" w:sz="4" w:space="1" w:color="auto"/>
          <w:right w:val="single" w:sz="4" w:space="4" w:color="auto"/>
        </w:pBdr>
        <w:jc w:val="center"/>
        <w:rPr>
          <w:rFonts w:ascii="Verdana" w:hAnsi="Verdana"/>
          <w:b/>
        </w:rPr>
      </w:pPr>
      <w:r>
        <w:rPr>
          <w:rFonts w:ascii="Verdana" w:hAnsi="Verdana"/>
          <w:b/>
        </w:rPr>
        <w:t xml:space="preserve">A CANDIDATURES A UNE FONCTION DE DIRECTEUR (H/F/X) </w:t>
      </w:r>
    </w:p>
    <w:p>
      <w:pPr>
        <w:pBdr>
          <w:top w:val="single" w:sz="4" w:space="1" w:color="auto"/>
          <w:left w:val="single" w:sz="4" w:space="4" w:color="auto"/>
          <w:bottom w:val="single" w:sz="4" w:space="1" w:color="auto"/>
          <w:right w:val="single" w:sz="4" w:space="4" w:color="auto"/>
        </w:pBdr>
        <w:jc w:val="center"/>
        <w:rPr>
          <w:rFonts w:ascii="Verdana" w:hAnsi="Verdana"/>
          <w:b/>
        </w:rPr>
      </w:pPr>
      <w:r>
        <w:rPr>
          <w:rFonts w:ascii="Verdana" w:hAnsi="Verdana"/>
          <w:b/>
        </w:rPr>
        <w:t xml:space="preserve">DANS UNE ECOLE </w:t>
      </w:r>
    </w:p>
    <w:p>
      <w:pPr>
        <w:pBdr>
          <w:top w:val="single" w:sz="4" w:space="1" w:color="auto"/>
          <w:left w:val="single" w:sz="4" w:space="4" w:color="auto"/>
          <w:bottom w:val="single" w:sz="4" w:space="1" w:color="auto"/>
          <w:right w:val="single" w:sz="4" w:space="4" w:color="auto"/>
        </w:pBdr>
        <w:jc w:val="center"/>
        <w:rPr>
          <w:rFonts w:ascii="Verdana" w:hAnsi="Verdana"/>
          <w:b/>
        </w:rPr>
      </w:pPr>
      <w:r>
        <w:rPr>
          <w:rFonts w:ascii="Verdana" w:hAnsi="Verdana"/>
          <w:b/>
        </w:rPr>
        <w:t>FONDAMENTALE AUTONOME</w:t>
      </w:r>
    </w:p>
    <w:p>
      <w:pPr>
        <w:pBdr>
          <w:top w:val="single" w:sz="4" w:space="1" w:color="auto"/>
          <w:left w:val="single" w:sz="4" w:space="4" w:color="auto"/>
          <w:bottom w:val="single" w:sz="4" w:space="1" w:color="auto"/>
          <w:right w:val="single" w:sz="4" w:space="4" w:color="auto"/>
        </w:pBdr>
        <w:jc w:val="center"/>
        <w:rPr>
          <w:rFonts w:ascii="Verdana" w:hAnsi="Verdana"/>
          <w:b/>
        </w:rPr>
      </w:pPr>
      <w:r>
        <w:rPr>
          <w:rFonts w:ascii="Verdana" w:hAnsi="Verdana"/>
          <w:b/>
        </w:rPr>
        <w:t>ORDINAIRE</w:t>
      </w:r>
    </w:p>
    <w:p>
      <w:pPr>
        <w:pBdr>
          <w:top w:val="single" w:sz="4" w:space="1" w:color="auto"/>
          <w:left w:val="single" w:sz="4" w:space="4" w:color="auto"/>
          <w:bottom w:val="single" w:sz="4" w:space="1" w:color="auto"/>
          <w:right w:val="single" w:sz="4" w:space="4" w:color="auto"/>
        </w:pBdr>
        <w:jc w:val="center"/>
        <w:rPr>
          <w:rFonts w:ascii="Verdana" w:hAnsi="Verdana"/>
          <w:b/>
        </w:rPr>
      </w:pPr>
      <w:r>
        <w:rPr>
          <w:rFonts w:ascii="Verdana" w:hAnsi="Verdana"/>
          <w:b/>
        </w:rPr>
        <w:t>-</w:t>
      </w:r>
    </w:p>
    <w:p>
      <w:pPr>
        <w:pBdr>
          <w:top w:val="single" w:sz="4" w:space="1" w:color="auto"/>
          <w:left w:val="single" w:sz="4" w:space="4" w:color="auto"/>
          <w:bottom w:val="single" w:sz="4" w:space="1" w:color="auto"/>
          <w:right w:val="single" w:sz="4" w:space="4" w:color="auto"/>
        </w:pBdr>
        <w:jc w:val="center"/>
        <w:rPr>
          <w:rFonts w:ascii="Verdana" w:hAnsi="Verdana"/>
          <w:b/>
        </w:rPr>
      </w:pPr>
      <w:r>
        <w:rPr>
          <w:rFonts w:ascii="Verdana" w:hAnsi="Verdana"/>
          <w:b/>
        </w:rPr>
        <w:t>ADMISSION AU STAGE</w:t>
      </w:r>
    </w:p>
    <w:p>
      <w:pPr>
        <w:pBdr>
          <w:top w:val="single" w:sz="4" w:space="1" w:color="auto"/>
          <w:left w:val="single" w:sz="4" w:space="4" w:color="auto"/>
          <w:bottom w:val="single" w:sz="4" w:space="1" w:color="auto"/>
          <w:right w:val="single" w:sz="4" w:space="4" w:color="auto"/>
        </w:pBdr>
        <w:rPr>
          <w:rFonts w:ascii="Verdana" w:hAnsi="Verdana"/>
        </w:rPr>
      </w:pPr>
    </w:p>
    <w:p>
      <w:pPr>
        <w:pBdr>
          <w:top w:val="single" w:sz="4" w:space="1" w:color="auto"/>
          <w:left w:val="single" w:sz="4" w:space="4" w:color="auto"/>
          <w:bottom w:val="single" w:sz="4" w:space="1" w:color="auto"/>
          <w:right w:val="single" w:sz="4" w:space="4" w:color="auto"/>
        </w:pBdr>
        <w:rPr>
          <w:rFonts w:ascii="Verdana" w:hAnsi="Verdana"/>
          <w:u w:val="single"/>
        </w:rPr>
      </w:pPr>
      <w:r>
        <w:rPr>
          <w:rFonts w:ascii="Verdana" w:hAnsi="Verdana"/>
          <w:u w:val="single"/>
        </w:rPr>
        <w:t xml:space="preserve">Coordonnées du P.O. :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Nom : Wallonie-Bruxelles-Enseignement (WBE)</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Adresse : Boulevard du Jardin Botanique 20-22, 1000 Bruxelles</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Adresse électronique : </w:t>
      </w:r>
      <w:hyperlink r:id="rId9">
        <w:r>
          <w:rPr>
            <w:rStyle w:val="LienInternet"/>
            <w:rFonts w:ascii="Verdana" w:hAnsi="Verdana"/>
          </w:rPr>
          <w:t>selection.promotion(at)w-b-e.be</w:t>
        </w:r>
      </w:hyperlink>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Site web : www.w-b-e.be </w:t>
      </w:r>
    </w:p>
    <w:p>
      <w:pPr>
        <w:pBdr>
          <w:top w:val="single" w:sz="4" w:space="1" w:color="auto"/>
          <w:left w:val="single" w:sz="4" w:space="4" w:color="auto"/>
          <w:bottom w:val="single" w:sz="4" w:space="1" w:color="auto"/>
          <w:right w:val="single" w:sz="4" w:space="4" w:color="auto"/>
        </w:pBdr>
        <w:rPr>
          <w:rFonts w:ascii="Verdana" w:hAnsi="Verdana"/>
          <w:u w:val="single"/>
        </w:rPr>
      </w:pPr>
      <w:r>
        <w:rPr>
          <w:rFonts w:ascii="Verdana" w:hAnsi="Verdana"/>
          <w:u w:val="single"/>
        </w:rPr>
        <w:t>Coordonnées de l'école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Nom : Ecole Fondamentale autonome de la Communauté Française de Malonne</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Adresse : rue d’Insevaux 72, 5020 Malonne</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Site web : </w:t>
      </w:r>
      <w:hyperlink r:id="rId10" w:history="1">
        <w:r>
          <w:rPr>
            <w:rStyle w:val="Lienhypertexte"/>
            <w:rFonts w:ascii="Verdana" w:hAnsi="Verdana"/>
          </w:rPr>
          <w:t>https://efcfmalonne.weebly.com/</w:t>
        </w:r>
      </w:hyperlink>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b/>
        </w:rPr>
        <w:t>Date présumée d’entrée en fonction</w:t>
      </w:r>
      <w:r>
        <w:rPr>
          <w:rFonts w:ascii="Verdana" w:hAnsi="Verdana"/>
        </w:rPr>
        <w:t> : 1</w:t>
      </w:r>
      <w:r>
        <w:rPr>
          <w:rFonts w:ascii="Verdana" w:hAnsi="Verdana"/>
          <w:vertAlign w:val="superscript"/>
        </w:rPr>
        <w:t>er</w:t>
      </w:r>
      <w:r>
        <w:rPr>
          <w:rFonts w:ascii="Verdana" w:hAnsi="Verdana"/>
        </w:rPr>
        <w:t xml:space="preserve"> mars 2021</w:t>
      </w: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b/>
          <w:u w:val="single"/>
        </w:rPr>
        <w:lastRenderedPageBreak/>
        <w:t>Caractéristiques de l’école</w:t>
      </w:r>
      <w:r>
        <w:rPr>
          <w:rFonts w:ascii="Verdana" w:hAnsi="Verdana"/>
        </w:rPr>
        <w:t xml:space="preserve"> : </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rPr>
        <w:t xml:space="preserve">L’Ecole Fondamentale autonome de la Communauté Française de Malonne, appelée aussi Ecole Fondamentale de Malonne de la Fédération Wallonie Bruxelles, est un établissement qui organise les 3 années maternelles ainsi que les 6 années primaires dans un environnement scolaire familial. </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rPr>
        <w:t>Elle est composée de deux implantations fondamentales : l’implantation principale est à Malonne, l’autre se situe à Mornimont. La distance entre ces implantations est de 13 km et elles offrent chacune d’elle le même type d’enseignement.</w:t>
      </w:r>
    </w:p>
    <w:p>
      <w:pPr>
        <w:pBdr>
          <w:top w:val="single" w:sz="4" w:space="1" w:color="auto"/>
          <w:left w:val="single" w:sz="4" w:space="4" w:color="auto"/>
          <w:bottom w:val="single" w:sz="4" w:space="1" w:color="auto"/>
          <w:right w:val="single" w:sz="4" w:space="4" w:color="auto"/>
        </w:pBdr>
        <w:spacing w:after="0"/>
        <w:jc w:val="both"/>
        <w:rPr>
          <w:rFonts w:ascii="Verdana" w:hAnsi="Verdana"/>
        </w:rPr>
      </w:pPr>
      <w:r>
        <w:rPr>
          <w:rFonts w:ascii="Verdana" w:hAnsi="Verdana"/>
        </w:rPr>
        <w:t xml:space="preserve">Site Premier (Malonne) </w:t>
      </w:r>
      <w:r>
        <w:rPr>
          <w:rFonts w:ascii="Verdana" w:hAnsi="Verdana"/>
        </w:rPr>
        <w:tab/>
      </w:r>
      <w:r>
        <w:rPr>
          <w:rFonts w:ascii="Verdana" w:hAnsi="Verdana"/>
        </w:rPr>
        <w:tab/>
        <w:t>Site Deuxième (Mornimont)</w:t>
      </w:r>
    </w:p>
    <w:p>
      <w:pPr>
        <w:pBdr>
          <w:top w:val="single" w:sz="4" w:space="1" w:color="auto"/>
          <w:left w:val="single" w:sz="4" w:space="4" w:color="auto"/>
          <w:bottom w:val="single" w:sz="4" w:space="1" w:color="auto"/>
          <w:right w:val="single" w:sz="4" w:space="4" w:color="auto"/>
        </w:pBdr>
        <w:spacing w:after="0"/>
        <w:jc w:val="both"/>
        <w:rPr>
          <w:rFonts w:ascii="Verdana" w:hAnsi="Verdana"/>
        </w:rPr>
      </w:pPr>
      <w:r>
        <w:rPr>
          <w:rFonts w:ascii="Verdana" w:hAnsi="Verdana"/>
        </w:rPr>
        <w:t>Rue d’Insevaux 72</w:t>
      </w:r>
      <w:r>
        <w:rPr>
          <w:rFonts w:ascii="Verdana" w:hAnsi="Verdana"/>
        </w:rPr>
        <w:tab/>
      </w:r>
      <w:r>
        <w:rPr>
          <w:rFonts w:ascii="Verdana" w:hAnsi="Verdana"/>
        </w:rPr>
        <w:tab/>
      </w:r>
      <w:r>
        <w:rPr>
          <w:rFonts w:ascii="Verdana" w:hAnsi="Verdana"/>
        </w:rPr>
        <w:tab/>
        <w:t>Place Lekeu,1</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rPr>
        <w:t>5020 Malonne</w:t>
      </w:r>
      <w:r>
        <w:rPr>
          <w:rFonts w:ascii="Verdana" w:hAnsi="Verdana"/>
        </w:rPr>
        <w:tab/>
      </w:r>
      <w:r>
        <w:rPr>
          <w:rFonts w:ascii="Verdana" w:hAnsi="Verdana"/>
        </w:rPr>
        <w:tab/>
      </w:r>
      <w:r>
        <w:rPr>
          <w:rFonts w:ascii="Verdana" w:hAnsi="Verdana"/>
        </w:rPr>
        <w:tab/>
        <w:t>5190 Mornimont</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rPr>
        <w:t xml:space="preserve">L’implantation de Malonne compte environ 175 élèves et possède une capacité d’accueil de plus de 300 élèves. Celle de Mornimont est de 45 élèves et est presque à saturation.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La direction actuelle gère une équipe composée d’une trentaine de personnes dont :</w:t>
      </w:r>
    </w:p>
    <w:p>
      <w:pPr>
        <w:pBdr>
          <w:top w:val="single" w:sz="4" w:space="1" w:color="auto"/>
          <w:left w:val="single" w:sz="4" w:space="4" w:color="auto"/>
          <w:bottom w:val="single" w:sz="4" w:space="1" w:color="auto"/>
          <w:right w:val="single" w:sz="4" w:space="4" w:color="auto"/>
        </w:pBdr>
        <w:spacing w:after="0"/>
        <w:rPr>
          <w:rFonts w:ascii="Verdana" w:hAnsi="Verdana"/>
        </w:rPr>
      </w:pPr>
      <w:r>
        <w:rPr>
          <w:rFonts w:ascii="Verdana" w:hAnsi="Verdana"/>
        </w:rPr>
        <w:t xml:space="preserve">- une comptable et un conseiller en prévention ; </w:t>
      </w:r>
    </w:p>
    <w:p>
      <w:pPr>
        <w:pBdr>
          <w:top w:val="single" w:sz="4" w:space="1" w:color="auto"/>
          <w:left w:val="single" w:sz="4" w:space="4" w:color="auto"/>
          <w:bottom w:val="single" w:sz="4" w:space="1" w:color="auto"/>
          <w:right w:val="single" w:sz="4" w:space="4" w:color="auto"/>
        </w:pBdr>
        <w:spacing w:after="0"/>
        <w:rPr>
          <w:rFonts w:ascii="Verdana" w:hAnsi="Verdana"/>
        </w:rPr>
      </w:pPr>
      <w:r>
        <w:rPr>
          <w:rFonts w:ascii="Verdana" w:hAnsi="Verdana"/>
        </w:rPr>
        <w:t xml:space="preserve">- 19 membres du personnel enseignant et assimilés ; </w:t>
      </w:r>
    </w:p>
    <w:p>
      <w:pPr>
        <w:pBdr>
          <w:top w:val="single" w:sz="4" w:space="1" w:color="auto"/>
          <w:left w:val="single" w:sz="4" w:space="4" w:color="auto"/>
          <w:bottom w:val="single" w:sz="4" w:space="1" w:color="auto"/>
          <w:right w:val="single" w:sz="4" w:space="4" w:color="auto"/>
        </w:pBdr>
        <w:spacing w:after="0"/>
        <w:rPr>
          <w:rFonts w:ascii="Verdana" w:hAnsi="Verdana"/>
        </w:rPr>
      </w:pPr>
      <w:r>
        <w:rPr>
          <w:rFonts w:ascii="Verdana" w:hAnsi="Verdana"/>
        </w:rPr>
        <w:t xml:space="preserve">- 3 ouvriers d’entretien dont 1 chauffeur de car ; </w:t>
      </w:r>
    </w:p>
    <w:p>
      <w:pPr>
        <w:pBdr>
          <w:top w:val="single" w:sz="4" w:space="1" w:color="auto"/>
          <w:left w:val="single" w:sz="4" w:space="4" w:color="auto"/>
          <w:bottom w:val="single" w:sz="4" w:space="1" w:color="auto"/>
          <w:right w:val="single" w:sz="4" w:space="4" w:color="auto"/>
        </w:pBdr>
        <w:spacing w:after="0"/>
        <w:rPr>
          <w:rFonts w:ascii="Verdana" w:hAnsi="Verdana"/>
        </w:rPr>
      </w:pPr>
      <w:r>
        <w:rPr>
          <w:rFonts w:ascii="Verdana" w:hAnsi="Verdana"/>
        </w:rPr>
        <w:t xml:space="preserve">- 4 techniciennes de surface ; </w:t>
      </w:r>
    </w:p>
    <w:p>
      <w:pPr>
        <w:pBdr>
          <w:top w:val="single" w:sz="4" w:space="1" w:color="auto"/>
          <w:left w:val="single" w:sz="4" w:space="4" w:color="auto"/>
          <w:bottom w:val="single" w:sz="4" w:space="1" w:color="auto"/>
          <w:right w:val="single" w:sz="4" w:space="4" w:color="auto"/>
        </w:pBdr>
        <w:spacing w:after="0"/>
        <w:rPr>
          <w:rFonts w:ascii="Verdana" w:hAnsi="Verdana"/>
        </w:rPr>
      </w:pPr>
      <w:r>
        <w:rPr>
          <w:rFonts w:ascii="Verdana" w:hAnsi="Verdana"/>
        </w:rPr>
        <w:t xml:space="preserve">- une cuisinière et 2 aide-cuisinières ;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 un concierge.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L’école fondamentale autonome de la Communauté Française de Malonne organise de nombreux séjours et sorties à des fins pédagogiques.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De plus, l’établissement propose une garderie extra-scolaire dès 06h30 jusqu’à 18h15 ainsi qu’une étude dirigée assurée par les enseignants de l’école. </w:t>
      </w:r>
    </w:p>
    <w:p>
      <w:pPr>
        <w:rPr>
          <w:rFonts w:ascii="Verdana" w:hAnsi="Verdana"/>
        </w:rPr>
      </w:pP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cs="Arial"/>
          <w:b/>
          <w:bCs/>
          <w:color w:val="000000" w:themeColor="text1"/>
          <w:u w:val="double"/>
        </w:rPr>
        <w:t>Nature de l’emploi :</w:t>
      </w:r>
      <w:r>
        <w:rPr>
          <w:rFonts w:ascii="Verdana" w:hAnsi="Verdana" w:cs="Arial"/>
          <w:b/>
          <w:bCs/>
          <w:color w:val="000000" w:themeColor="text1"/>
        </w:rPr>
        <w:t xml:space="preserve"> </w:t>
      </w:r>
      <w:r>
        <w:rPr>
          <w:rFonts w:ascii="Verdana" w:hAnsi="Verdana"/>
        </w:rPr>
        <w:t>emploi vacant</w:t>
      </w:r>
    </w:p>
    <w:p>
      <w:pPr>
        <w:spacing w:after="0"/>
        <w:rPr>
          <w:rFonts w:ascii="Verdana" w:hAnsi="Verdana"/>
        </w:rPr>
      </w:pPr>
    </w:p>
    <w:p>
      <w:pPr>
        <w:pBdr>
          <w:top w:val="single" w:sz="4" w:space="0" w:color="auto"/>
          <w:left w:val="single" w:sz="4" w:space="4" w:color="auto"/>
          <w:bottom w:val="single" w:sz="4" w:space="0" w:color="auto"/>
          <w:right w:val="single" w:sz="4" w:space="4" w:color="auto"/>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w:t>
      </w:r>
    </w:p>
    <w:p>
      <w:pPr>
        <w:pBdr>
          <w:top w:val="single" w:sz="4" w:space="0" w:color="auto"/>
          <w:left w:val="single" w:sz="4" w:space="4" w:color="auto"/>
          <w:bottom w:val="single" w:sz="4" w:space="0" w:color="auto"/>
          <w:right w:val="single" w:sz="4" w:space="4" w:color="auto"/>
        </w:pBdr>
        <w:rPr>
          <w:rFonts w:ascii="Verdana" w:hAnsi="Verdana"/>
        </w:rPr>
      </w:pPr>
      <w:r>
        <w:rPr>
          <w:rFonts w:ascii="Verdana" w:hAnsi="Verdana"/>
        </w:rPr>
        <w:t>PERAZZO - Gianni – Préfet de zone - Email : gianni.perazzo</w:t>
      </w:r>
      <w:r>
        <w:rPr>
          <w:rFonts w:ascii="Verdana" w:hAnsi="Verdana" w:cs="Calibri"/>
        </w:rPr>
        <w:t>(at)cfwb.be</w:t>
      </w:r>
    </w:p>
    <w:p>
      <w:pPr>
        <w:pBdr>
          <w:top w:val="single" w:sz="4" w:space="1" w:color="auto"/>
          <w:left w:val="single" w:sz="4" w:space="4" w:color="auto"/>
          <w:bottom w:val="single" w:sz="4" w:space="1" w:color="auto"/>
          <w:right w:val="single" w:sz="4" w:space="4" w:color="auto"/>
        </w:pBdr>
        <w:jc w:val="both"/>
        <w:rPr>
          <w:rFonts w:ascii="Verdana" w:hAnsi="Verdana" w:cs="Arial"/>
          <w:b/>
          <w:color w:val="000000" w:themeColor="text1"/>
          <w:u w:val="single"/>
        </w:rPr>
      </w:pPr>
      <w:r>
        <w:rPr>
          <w:rFonts w:ascii="Verdana" w:hAnsi="Verdana" w:cs="Arial"/>
          <w:b/>
          <w:color w:val="000000" w:themeColor="text1"/>
          <w:u w:val="single"/>
        </w:rPr>
        <w:t>Destinataires de l’appel :</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cs="Arial"/>
          <w:color w:val="000000" w:themeColor="text1"/>
        </w:rPr>
        <w:t xml:space="preserve">Les membres du personnel exerçant leurs fonctions au sein de WBE. </w:t>
      </w:r>
    </w:p>
    <w:p>
      <w:pPr>
        <w:pBdr>
          <w:top w:val="single" w:sz="4" w:space="1" w:color="auto"/>
          <w:left w:val="single" w:sz="4" w:space="4" w:color="auto"/>
          <w:bottom w:val="single" w:sz="4" w:space="1" w:color="auto"/>
          <w:right w:val="single" w:sz="4" w:space="4" w:color="auto"/>
        </w:pBdr>
        <w:rPr>
          <w:rFonts w:ascii="Verdana" w:hAnsi="Verdana"/>
          <w:b/>
          <w:u w:val="single"/>
        </w:rPr>
      </w:pPr>
    </w:p>
    <w:p>
      <w:pPr>
        <w:pBdr>
          <w:top w:val="single" w:sz="4" w:space="1" w:color="auto"/>
          <w:left w:val="single" w:sz="4" w:space="4" w:color="auto"/>
          <w:bottom w:val="single" w:sz="4" w:space="1" w:color="auto"/>
          <w:right w:val="single" w:sz="4" w:space="4" w:color="auto"/>
        </w:pBdr>
        <w:rPr>
          <w:rFonts w:ascii="Verdana" w:hAnsi="Verdana"/>
          <w:b/>
          <w:u w:val="single"/>
        </w:rPr>
      </w:pPr>
    </w:p>
    <w:p>
      <w:pPr>
        <w:pBdr>
          <w:top w:val="single" w:sz="4" w:space="1" w:color="auto"/>
          <w:left w:val="single" w:sz="4" w:space="4" w:color="auto"/>
          <w:bottom w:val="single" w:sz="4" w:space="1" w:color="auto"/>
          <w:right w:val="single" w:sz="4" w:space="4" w:color="auto"/>
        </w:pBdr>
        <w:rPr>
          <w:rFonts w:ascii="Verdana" w:hAnsi="Verdana"/>
          <w:b/>
          <w:u w:val="single"/>
        </w:rPr>
      </w:pPr>
      <w:r>
        <w:rPr>
          <w:rFonts w:ascii="Verdana" w:hAnsi="Verdana"/>
          <w:b/>
          <w:u w:val="single"/>
        </w:rPr>
        <w:t>Modalités pour postuler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Les dossiers de candidature doivent être envoyés, au plus tard le 6 janvier 2021.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 De préférence, par envoi électronique en demandant un accusé de réception ainsi qu’une confirmation de lecture: </w:t>
      </w:r>
      <w:r>
        <w:rPr>
          <w:rFonts w:ascii="Verdana" w:hAnsi="Verdana"/>
        </w:rPr>
        <w:br/>
        <w:t xml:space="preserve">Destinataire : </w:t>
      </w:r>
      <w:hyperlink r:id="rId11">
        <w:r>
          <w:rPr>
            <w:rStyle w:val="LienInternet"/>
            <w:rFonts w:ascii="Verdana" w:hAnsi="Verdana"/>
          </w:rPr>
          <w:t>selection.promotion(at)w-b-e.be</w:t>
        </w:r>
      </w:hyperlink>
      <w:r>
        <w:rPr>
          <w:rFonts w:ascii="Verdana" w:hAnsi="Verdana"/>
        </w:rPr>
        <w:br/>
        <w:t>Objet : WBE CE 2020 005</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 Ou par recommandé ou déposés contre accusé de réception à : </w:t>
      </w:r>
    </w:p>
    <w:p>
      <w:pPr>
        <w:pBdr>
          <w:top w:val="single" w:sz="4" w:space="1" w:color="auto"/>
          <w:left w:val="single" w:sz="4" w:space="4" w:color="auto"/>
          <w:bottom w:val="single" w:sz="4" w:space="1" w:color="auto"/>
          <w:right w:val="single" w:sz="4" w:space="4" w:color="auto"/>
        </w:pBdr>
        <w:spacing w:after="0"/>
        <w:jc w:val="both"/>
        <w:rPr>
          <w:rFonts w:ascii="Verdana" w:hAnsi="Verdana"/>
        </w:rPr>
      </w:pPr>
      <w:r>
        <w:rPr>
          <w:rFonts w:ascii="Verdana" w:hAnsi="Verdana"/>
        </w:rPr>
        <w:t>Direction des ressources humaines : Service sélection et promotion dans l’enseignement (bureau 2G22)</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rPr>
        <w:t>Wallonie-Bruxelles-Enseignement</w:t>
      </w:r>
      <w:r>
        <w:rPr>
          <w:rFonts w:ascii="Verdana" w:hAnsi="Verdana"/>
        </w:rPr>
        <w:br/>
        <w:t xml:space="preserve">Boulevard du Jardin botanique 20-22 à 1000 Bruxelles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Le dossier de candidature comportera :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Un curriculum vitae rédigé en français et actualisé indiquant précisément les dates d’exercice du poste (mois, année)</w:t>
      </w:r>
      <w:r>
        <w:rPr>
          <w:rFonts w:ascii="Verdana" w:hAnsi="Verdana"/>
        </w:rPr>
        <w:br/>
        <w:t>- Un formulaire de candidature de la fonction à pourvoir complété(voir annexe 3)</w:t>
      </w:r>
      <w:r>
        <w:rPr>
          <w:rFonts w:ascii="Verdana" w:hAnsi="Verdana"/>
        </w:rPr>
        <w:br/>
        <w:t>- Une copie du (ou des) diplôme(s) requis</w:t>
      </w:r>
      <w:r>
        <w:rPr>
          <w:rFonts w:ascii="Verdana" w:hAnsi="Verdana"/>
        </w:rPr>
        <w:br/>
        <w:t>- Un extrait de casier judiciaire 596.2 vierge daté de 3 mois maximum à partir de la publication de l’appel à candidatures.</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Le cas échéant, une copie des attestations de réussite obtenues dans le cadre de la formation initiale des direct/eurs/rices sera jointe au dossier de candidature.</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pPr>
        <w:pBdr>
          <w:top w:val="single" w:sz="4" w:space="1" w:color="auto"/>
          <w:left w:val="single" w:sz="4" w:space="4" w:color="auto"/>
          <w:bottom w:val="single" w:sz="4" w:space="1" w:color="auto"/>
          <w:right w:val="single" w:sz="4" w:space="4" w:color="auto"/>
        </w:pBdr>
        <w:jc w:val="both"/>
        <w:rPr>
          <w:rFonts w:ascii="Verdana" w:hAnsi="Verdana"/>
          <w:b/>
          <w:u w:val="single"/>
        </w:rPr>
      </w:pPr>
      <w:r>
        <w:rPr>
          <w:rFonts w:ascii="Verdana" w:hAnsi="Verdana"/>
          <w:b/>
          <w:u w:val="single"/>
        </w:rPr>
        <w:t>Annexes :</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rPr>
        <w:t>- Annexe 1 : Conditions d’accès à la fonction</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rPr>
        <w:t xml:space="preserve">- Annexe 2 : Profil de fonction établi par le Pouvoir organisateur. </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rPr>
        <w:t>- Annexe 3 : Formulaire de candidatures (disponible en version électronique sur notre site internet :</w:t>
      </w:r>
      <w:r>
        <w:t xml:space="preserve"> </w:t>
      </w:r>
      <w:hyperlink r:id="rId12" w:history="1">
        <w:r>
          <w:rPr>
            <w:rStyle w:val="Lienhypertexte"/>
          </w:rPr>
          <w:t>https://www.w-b-e.be/jobs-carriere/evolution-de-carriere/emplois-vacants/</w:t>
        </w:r>
      </w:hyperlink>
      <w:r>
        <w:rPr>
          <w:rFonts w:ascii="Verdana" w:hAnsi="Verdana"/>
        </w:rPr>
        <w:t xml:space="preserve"> et à joindre dans votre candidature)</w:t>
      </w:r>
    </w:p>
    <w:p>
      <w:pPr>
        <w:spacing w:after="160" w:line="259" w:lineRule="auto"/>
        <w:rPr>
          <w:rFonts w:ascii="Verdana" w:hAnsi="Verdana"/>
        </w:rPr>
      </w:pPr>
      <w:r>
        <w:rPr>
          <w:rFonts w:ascii="Verdana" w:hAnsi="Verdana"/>
        </w:rPr>
        <w:br w:type="page"/>
      </w:r>
    </w:p>
    <w:p>
      <w:pPr>
        <w:rPr>
          <w:rFonts w:ascii="Verdana" w:hAnsi="Verdana"/>
          <w:b/>
        </w:rPr>
      </w:pPr>
      <w:r>
        <w:rPr>
          <w:rFonts w:ascii="Verdana" w:hAnsi="Verdana"/>
          <w:b/>
        </w:rPr>
        <w:t xml:space="preserve">Annexe 1. Conditions d’accès à la fonction </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rPr>
      </w:pP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ppelnotedebasdep"/>
          <w:rFonts w:ascii="Verdana" w:hAnsi="Verdana" w:cs="Arial"/>
          <w:color w:val="000000" w:themeColor="text1"/>
        </w:rPr>
        <w:footnoteReference w:id="1"/>
      </w:r>
      <w:r>
        <w:rPr>
          <w:rFonts w:ascii="Verdana" w:hAnsi="Verdana" w:cs="Arial"/>
          <w:color w:val="000000" w:themeColor="text1"/>
        </w:rPr>
        <w:t>;</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r>
        <w:rPr>
          <w:rStyle w:val="Appelnotedebasdep"/>
          <w:rFonts w:ascii="Verdana" w:hAnsi="Verdana" w:cs="Arial"/>
        </w:rPr>
        <w:footnoteReference w:id="2"/>
      </w:r>
      <w:bookmarkEnd w:id="1"/>
      <w:r>
        <w:rPr>
          <w:rFonts w:ascii="Verdana" w:hAnsi="Verdana" w:cs="Arial"/>
        </w:rPr>
        <w:t> ;</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rPr>
      </w:pPr>
      <w:r>
        <w:rPr>
          <w:rFonts w:ascii="Verdana" w:hAnsi="Verdana" w:cs="Arial"/>
        </w:rPr>
        <w:t xml:space="preserve">3° compter une ancienneté de service de trois ans au sein de l’enseignement </w:t>
      </w:r>
      <w:r>
        <w:rPr>
          <w:rFonts w:ascii="Verdana" w:hAnsi="Verdana" w:cs="Arial"/>
        </w:rPr>
        <w:tab/>
        <w:t xml:space="preserve">organisé et subventionné par la Communauté Française ; </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4° avoir répondu à l’appel à candidatures.</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eastAsia="Times New Roman" w:hAnsi="Verdana" w:cs="Arial"/>
          <w:color w:val="000000" w:themeColor="text1"/>
          <w:lang w:eastAsia="fr-FR"/>
        </w:rPr>
      </w:pP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eastAsia="Times New Roman" w:hAnsi="Verdana" w:cs="Arial"/>
          <w:color w:val="000000" w:themeColor="text1"/>
          <w:lang w:eastAsia="fr-FR"/>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cs="Arial"/>
          <w:b/>
          <w:color w:val="000000" w:themeColor="text1"/>
        </w:rPr>
      </w:pPr>
      <w:r>
        <w:rPr>
          <w:rFonts w:ascii="Verdana" w:hAnsi="Verdana" w:cs="Arial"/>
          <w:b/>
          <w:color w:val="000000" w:themeColor="text1"/>
        </w:rPr>
        <w:t>Les candidats reconnus comme éligibles à une fonction de directeur (h/f/x) par la Commission de valorisation de l’expérience dans l’enseignement</w:t>
      </w:r>
      <w:bookmarkStart w:id="2" w:name="_Ref532810415"/>
      <w:r>
        <w:rPr>
          <w:rStyle w:val="Appelnotedebasdep"/>
          <w:rFonts w:ascii="Verdana" w:eastAsia="Times New Roman" w:hAnsi="Verdana" w:cs="Arial"/>
          <w:b/>
          <w:color w:val="000000" w:themeColor="text1"/>
          <w:lang w:eastAsia="fr-FR"/>
        </w:rPr>
        <w:footnoteReference w:id="3"/>
      </w:r>
      <w:bookmarkEnd w:id="2"/>
      <w:r>
        <w:rPr>
          <w:rFonts w:ascii="Verdana" w:hAnsi="Verdana" w:cs="Arial"/>
          <w:b/>
          <w:color w:val="000000" w:themeColor="text1"/>
        </w:rPr>
        <w:t xml:space="preserve"> ne sont pas concernés par les conditions précitées mais par les conditions suivantes : </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rPr>
      </w:pPr>
      <w:r>
        <w:rPr>
          <w:rFonts w:ascii="Verdana" w:hAnsi="Verdana" w:cs="Arial"/>
          <w:color w:val="000000" w:themeColor="text1"/>
        </w:rPr>
        <w:t>1° Jouir des droits civils et politiques</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5° Avoir répondu à l’appel à candidatures.</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eastAsia="Times New Roman" w:hAnsi="Verdana" w:cs="Arial"/>
          <w:color w:val="000000" w:themeColor="text1"/>
          <w:lang w:eastAsia="fr-FR"/>
        </w:rPr>
      </w:pP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rPr>
      </w:pPr>
      <w:r>
        <w:rPr>
          <w:rFonts w:ascii="Verdana" w:hAnsi="Verdana"/>
          <w:b/>
        </w:rPr>
        <w:t xml:space="preserve">Sur base des dossiers de candidature, le jury de sélection pourra limiter le nombre de candidatures. </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rPr>
      </w:pPr>
      <w:r>
        <w:rPr>
          <w:rFonts w:ascii="Verdana" w:hAnsi="Verdana"/>
          <w:b/>
        </w:rPr>
        <w:t>Cette première analyse prendra en compte plus particulièrement les éléments suivants :</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rPr>
      </w:pPr>
      <w:r>
        <w:rPr>
          <w:rFonts w:ascii="Verdana" w:hAnsi="Verdana"/>
          <w:b/>
        </w:rPr>
        <w:t xml:space="preserve">    - Dans le formulaire :</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rPr>
      </w:pPr>
      <w:r>
        <w:rPr>
          <w:rFonts w:ascii="Verdana" w:hAnsi="Verdana"/>
        </w:rPr>
        <w:t>*Partie 1 « Responsabilité », en tenant compte des connaissances de :</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rPr>
      </w:pPr>
      <w:r>
        <w:rPr>
          <w:rFonts w:ascii="Verdana" w:hAnsi="Verdana"/>
        </w:rPr>
        <w:t xml:space="preserve">           - WBE : son organisation, son projet éducatif et pédagogique ;</w:t>
      </w:r>
    </w:p>
    <w:p>
      <w:pPr>
        <w:pBdr>
          <w:top w:val="single" w:sz="4" w:space="1" w:color="auto"/>
          <w:left w:val="single" w:sz="4" w:space="4" w:color="auto"/>
          <w:bottom w:val="single" w:sz="4" w:space="0" w:color="auto"/>
          <w:right w:val="single" w:sz="4" w:space="4" w:color="auto"/>
        </w:pBdr>
        <w:spacing w:after="0" w:line="240" w:lineRule="auto"/>
        <w:ind w:firstLine="708"/>
        <w:rPr>
          <w:rFonts w:ascii="Verdana" w:hAnsi="Verdana"/>
        </w:rPr>
      </w:pPr>
      <w:r>
        <w:rPr>
          <w:rFonts w:ascii="Verdana" w:hAnsi="Verdana"/>
        </w:rPr>
        <w:t xml:space="preserve">           - EFACF Malonne : les projets pédagogiques déjà mis en place, les            caractéristiques de l’établissement, l’ancrage environnemental. </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rPr>
      </w:pP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rPr>
      </w:pPr>
      <w:r>
        <w:rPr>
          <w:rFonts w:ascii="Verdana" w:hAnsi="Verdana"/>
        </w:rPr>
        <w:t>*Partie 3 « Motivation ».</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eastAsia="Times New Roman" w:hAnsi="Verdana" w:cs="Arial"/>
          <w:b/>
          <w:color w:val="000000" w:themeColor="text1"/>
          <w:u w:val="single"/>
          <w:lang w:eastAsia="fr-FR"/>
        </w:rPr>
      </w:pPr>
      <w:r>
        <w:rPr>
          <w:rFonts w:ascii="Verdana" w:eastAsia="Times New Roman" w:hAnsi="Verdana" w:cs="Arial"/>
          <w:b/>
          <w:color w:val="000000" w:themeColor="text1"/>
          <w:u w:val="single"/>
          <w:lang w:eastAsia="fr-FR"/>
        </w:rPr>
        <w:t>Pour être invité(e) en entretien, vous devrez obtenir 60% des points sur cette première analyse, soit minimum 18/30.</w:t>
      </w:r>
    </w:p>
    <w:p>
      <w:pPr>
        <w:pBdr>
          <w:top w:val="single" w:sz="4" w:space="1" w:color="auto"/>
          <w:left w:val="single" w:sz="4" w:space="4" w:color="auto"/>
          <w:bottom w:val="single" w:sz="4" w:space="0" w:color="auto"/>
          <w:right w:val="single" w:sz="4" w:space="4" w:color="auto"/>
        </w:pBdr>
        <w:spacing w:after="0" w:line="240" w:lineRule="auto"/>
        <w:jc w:val="both"/>
        <w:rPr>
          <w:rFonts w:ascii="Verdana" w:eastAsia="Times New Roman" w:hAnsi="Verdana" w:cs="Arial"/>
          <w:b/>
          <w:color w:val="000000" w:themeColor="text1"/>
          <w:u w:val="single"/>
          <w:lang w:eastAsia="fr-FR"/>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eastAsia="Times New Roman" w:hAnsi="Verdana" w:cs="Arial"/>
          <w:b/>
          <w:color w:val="000000" w:themeColor="text1"/>
          <w:lang w:eastAsia="fr-FR"/>
        </w:rPr>
      </w:pPr>
      <w:r>
        <w:rPr>
          <w:rFonts w:ascii="Verdana" w:hAnsi="Verdana"/>
          <w:b/>
        </w:rPr>
        <w:t>Les jurys sont prévus les 21 et 22 janvier 2021.</w:t>
      </w:r>
    </w:p>
    <w:p>
      <w:pPr>
        <w:spacing w:after="160" w:line="259" w:lineRule="auto"/>
        <w:rPr>
          <w:rFonts w:ascii="Verdana" w:hAnsi="Verdana"/>
        </w:rPr>
      </w:pPr>
    </w:p>
    <w:p>
      <w:pPr>
        <w:spacing w:after="160" w:line="259" w:lineRule="auto"/>
        <w:rPr>
          <w:rFonts w:ascii="Verdana" w:hAnsi="Verdana"/>
        </w:rPr>
        <w:sectPr>
          <w:footerReference w:type="default" r:id="rId13"/>
          <w:headerReference w:type="first" r:id="rId14"/>
          <w:footerReference w:type="first" r:id="rId15"/>
          <w:pgSz w:w="11906" w:h="16838" w:code="9"/>
          <w:pgMar w:top="1701" w:right="1134" w:bottom="1134" w:left="1134" w:header="567" w:footer="227" w:gutter="0"/>
          <w:cols w:space="708"/>
          <w:titlePg/>
          <w:docGrid w:linePitch="326"/>
        </w:sectPr>
      </w:pP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b/>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Pour les diplômes obtenus hors Belgique, une attestation d'équivalence du diplôme de la Communauté française est requise (pour l'obtenir: 02/690.89.00  Service de l’équivalence des diplômes /Service de la reconnaissance académique et professionnelle des diplômes étrangers d’enseignement supérieur)</w:t>
      </w: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Vous </w:t>
      </w:r>
      <w:r>
        <w:rPr>
          <w:rFonts w:ascii="Verdana" w:eastAsia="Times New Roman" w:hAnsi="Verdana" w:cs="Verdana"/>
          <w:color w:val="000000" w:themeColor="text1"/>
          <w:lang w:eastAsia="fr-FR"/>
        </w:rPr>
        <w:t>ê</w:t>
      </w:r>
      <w:r>
        <w:rPr>
          <w:rFonts w:ascii="Verdana" w:eastAsia="Times New Roman" w:hAnsi="Verdana" w:cs="Arial"/>
          <w:color w:val="000000" w:themeColor="text1"/>
          <w:lang w:eastAsia="fr-FR"/>
        </w:rPr>
        <w:t>tes belge ou ressortissant d</w:t>
      </w:r>
      <w:r>
        <w:rPr>
          <w:rFonts w:ascii="Verdana" w:eastAsia="Times New Roman" w:hAnsi="Verdana" w:cs="Verdana"/>
          <w:color w:val="000000" w:themeColor="text1"/>
          <w:lang w:eastAsia="fr-FR"/>
        </w:rPr>
        <w:t>’</w:t>
      </w:r>
      <w:r>
        <w:rPr>
          <w:rFonts w:ascii="Verdana" w:eastAsia="Times New Roman" w:hAnsi="Verdana" w:cs="Arial"/>
          <w:color w:val="000000" w:themeColor="text1"/>
          <w:lang w:eastAsia="fr-FR"/>
        </w:rPr>
        <w:t>un Etat faisant partie de l</w:t>
      </w:r>
      <w:r>
        <w:rPr>
          <w:rFonts w:ascii="Verdana" w:eastAsia="Times New Roman" w:hAnsi="Verdana" w:cs="Verdana"/>
          <w:color w:val="000000" w:themeColor="text1"/>
          <w:lang w:eastAsia="fr-FR"/>
        </w:rPr>
        <w:t>’</w:t>
      </w:r>
      <w:r>
        <w:rPr>
          <w:rFonts w:ascii="Verdana" w:eastAsia="Times New Roman" w:hAnsi="Verdana" w:cs="Arial"/>
          <w:color w:val="000000" w:themeColor="text1"/>
          <w:lang w:eastAsia="fr-FR"/>
        </w:rPr>
        <w:t xml:space="preserve">Espace </w:t>
      </w:r>
      <w:r>
        <w:rPr>
          <w:rFonts w:ascii="Verdana" w:eastAsia="Times New Roman" w:hAnsi="Verdana" w:cs="Verdana"/>
          <w:color w:val="000000" w:themeColor="text1"/>
          <w:lang w:eastAsia="fr-FR"/>
        </w:rPr>
        <w:t>é</w:t>
      </w:r>
      <w:r>
        <w:rPr>
          <w:rFonts w:ascii="Verdana" w:eastAsia="Times New Roman" w:hAnsi="Verdana" w:cs="Arial"/>
          <w:color w:val="000000" w:themeColor="text1"/>
          <w:lang w:eastAsia="fr-FR"/>
        </w:rPr>
        <w:t>conomique europ</w:t>
      </w:r>
      <w:r>
        <w:rPr>
          <w:rFonts w:ascii="Verdana" w:eastAsia="Times New Roman" w:hAnsi="Verdana" w:cs="Verdana"/>
          <w:color w:val="000000" w:themeColor="text1"/>
          <w:lang w:eastAsia="fr-FR"/>
        </w:rPr>
        <w:t>é</w:t>
      </w:r>
      <w:r>
        <w:rPr>
          <w:rFonts w:ascii="Verdana" w:eastAsia="Times New Roman" w:hAnsi="Verdana" w:cs="Arial"/>
          <w:color w:val="000000" w:themeColor="text1"/>
          <w:lang w:eastAsia="fr-FR"/>
        </w:rPr>
        <w:t xml:space="preserve">en (ou de la Suisse) ou ressortissant hors espace </w:t>
      </w:r>
      <w:r>
        <w:rPr>
          <w:rFonts w:ascii="Verdana" w:eastAsia="Times New Roman" w:hAnsi="Verdana" w:cs="Verdana"/>
          <w:color w:val="000000" w:themeColor="text1"/>
          <w:lang w:eastAsia="fr-FR"/>
        </w:rPr>
        <w:t>é</w:t>
      </w:r>
      <w:r>
        <w:rPr>
          <w:rFonts w:ascii="Verdana" w:eastAsia="Times New Roman" w:hAnsi="Verdana" w:cs="Arial"/>
          <w:color w:val="000000" w:themeColor="text1"/>
          <w:lang w:eastAsia="fr-FR"/>
        </w:rPr>
        <w:t>conomique europ</w:t>
      </w:r>
      <w:r>
        <w:rPr>
          <w:rFonts w:ascii="Verdana" w:eastAsia="Times New Roman" w:hAnsi="Verdana" w:cs="Verdana"/>
          <w:color w:val="000000" w:themeColor="text1"/>
          <w:lang w:eastAsia="fr-FR"/>
        </w:rPr>
        <w:t>é</w:t>
      </w:r>
      <w:r>
        <w:rPr>
          <w:rFonts w:ascii="Verdana" w:eastAsia="Times New Roman" w:hAnsi="Verdana" w:cs="Arial"/>
          <w:color w:val="000000" w:themeColor="text1"/>
          <w:lang w:eastAsia="fr-FR"/>
        </w:rPr>
        <w:t>en disposant d</w:t>
      </w:r>
      <w:r>
        <w:rPr>
          <w:rFonts w:ascii="Verdana" w:eastAsia="Times New Roman" w:hAnsi="Verdana" w:cs="Verdana"/>
          <w:color w:val="000000" w:themeColor="text1"/>
          <w:lang w:eastAsia="fr-FR"/>
        </w:rPr>
        <w:t>’</w:t>
      </w:r>
      <w:r>
        <w:rPr>
          <w:rFonts w:ascii="Verdana" w:eastAsia="Times New Roman" w:hAnsi="Verdana" w:cs="Arial"/>
          <w:color w:val="000000" w:themeColor="text1"/>
          <w:lang w:eastAsia="fr-FR"/>
        </w:rPr>
        <w:t>un titre de séjour et d’un permis de travail valides.</w:t>
      </w:r>
    </w:p>
    <w:p>
      <w:pPr>
        <w:spacing w:after="160" w:line="259" w:lineRule="auto"/>
        <w:rPr>
          <w:rFonts w:ascii="Verdana" w:hAnsi="Verdana"/>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b/>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Faites en mention dans votre acte de candidature en mettant en avant les informations qui nous permettront d’adapter les conditions de l’entretien.</w:t>
      </w: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color w:val="000000" w:themeColor="text1"/>
          <w:lang w:eastAsia="fr-FR"/>
        </w:rPr>
      </w:pPr>
      <w:hyperlink r:id="rId16">
        <w:r>
          <w:rPr>
            <w:rStyle w:val="LienInternet"/>
            <w:rFonts w:ascii="Verdana" w:hAnsi="Verdana"/>
          </w:rPr>
          <w:t>selection.promotion(at)w-b-e.be</w:t>
        </w:r>
      </w:hyperlink>
      <w:r>
        <w:rPr>
          <w:rStyle w:val="LienInternet"/>
          <w:rFonts w:ascii="Verdana" w:hAnsi="Verdana"/>
        </w:rPr>
        <w:t xml:space="preserve"> </w:t>
      </w:r>
    </w:p>
    <w:p>
      <w:pPr>
        <w:spacing w:after="160" w:line="259" w:lineRule="auto"/>
        <w:rPr>
          <w:rFonts w:ascii="Verdana" w:hAnsi="Verdana"/>
        </w:rPr>
      </w:pPr>
      <w:r>
        <w:rPr>
          <w:rFonts w:ascii="Verdana" w:hAnsi="Verdana"/>
        </w:rPr>
        <w:br w:type="page"/>
      </w:r>
    </w:p>
    <w:p>
      <w:pPr>
        <w:tabs>
          <w:tab w:val="left" w:pos="1985"/>
        </w:tabs>
        <w:spacing w:after="0" w:line="240" w:lineRule="auto"/>
        <w:jc w:val="both"/>
        <w:rPr>
          <w:rFonts w:ascii="Calibri" w:eastAsia="Times New Roman" w:hAnsi="Calibri" w:cs="Times New Roman"/>
          <w:sz w:val="20"/>
          <w:szCs w:val="20"/>
          <w:lang w:eastAsia="fr-FR"/>
        </w:rPr>
      </w:pPr>
      <w:r>
        <w:rPr>
          <w:rFonts w:ascii="Times New Roman" w:eastAsia="Times New Roman" w:hAnsi="Times New Roman" w:cs="Times New Roman"/>
          <w:noProof/>
          <w:sz w:val="24"/>
          <w:szCs w:val="24"/>
          <w:lang w:eastAsia="fr-BE"/>
        </w:rPr>
        <w:drawing>
          <wp:anchor distT="0" distB="0" distL="114300" distR="114300" simplePos="0" relativeHeight="251665408" behindDoc="0" locked="0" layoutInCell="1" allowOverlap="1">
            <wp:simplePos x="0" y="0"/>
            <wp:positionH relativeFrom="margin">
              <wp:align>center</wp:align>
            </wp:positionH>
            <wp:positionV relativeFrom="paragraph">
              <wp:posOffset>-33548</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tabs>
          <w:tab w:val="left" w:pos="1985"/>
        </w:tabs>
        <w:spacing w:after="0" w:line="240" w:lineRule="auto"/>
        <w:jc w:val="both"/>
        <w:rPr>
          <w:rFonts w:ascii="Calibri" w:eastAsia="Times New Roman" w:hAnsi="Calibri" w:cs="Times New Roman"/>
          <w:sz w:val="20"/>
          <w:szCs w:val="20"/>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bookmarkStart w:id="3" w:name="_Toc496507100"/>
    <w:bookmarkStart w:id="4" w:name="_Toc496000780"/>
    <w:bookmarkStart w:id="5" w:name="_Toc495298909"/>
    <w:bookmarkStart w:id="6" w:name="_Toc489775823"/>
    <w:p>
      <w:pPr>
        <w:spacing w:before="3640" w:after="240" w:line="240" w:lineRule="auto"/>
        <w:contextualSpacing/>
        <w:rPr>
          <w:rFonts w:ascii="Calibri Light" w:eastAsia="Calibri" w:hAnsi="Calibri Light" w:cs="Times New Roman"/>
          <w:b/>
          <w:caps/>
          <w:sz w:val="48"/>
          <w:szCs w:val="68"/>
          <w:lang w:eastAsia="nl-BE"/>
        </w:rPr>
      </w:pPr>
      <w:sdt>
        <w:sdtPr>
          <w:rPr>
            <w:rFonts w:ascii="Calibri Light" w:eastAsia="Calibri" w:hAnsi="Calibri Light" w:cs="Times New Roman"/>
            <w:b/>
            <w:caps/>
            <w:color w:val="0A0F16"/>
            <w:sz w:val="68"/>
            <w:szCs w:val="68"/>
            <w:lang w:eastAsia="nl-BE"/>
          </w:rPr>
          <w:alias w:val="Titre de la fonction"/>
          <w:tag w:val=""/>
          <w:id w:val="-899436851"/>
          <w:placeholder>
            <w:docPart w:val="C22C4B8A2F3343FB8157AA5FFF2D5B3A"/>
          </w:placeholder>
          <w:dataBinding w:prefixMappings="xmlns:ns0='http://schemas.microsoft.com/office/2006/coverPageProps' " w:xpath="/ns0:CoverPageProperties[1]/ns0:CompanyAddress[1]" w:storeItemID="{55AF091B-3C7A-41E3-B477-F2FDAA23CFDA}"/>
          <w:text/>
        </w:sdtPr>
        <w:sdtContent>
          <w:r>
            <w:rPr>
              <w:rFonts w:ascii="Calibri Light" w:eastAsia="Calibri" w:hAnsi="Calibri Light" w:cs="Times New Roman"/>
              <w:b/>
              <w:caps/>
              <w:color w:val="0A0F16"/>
              <w:sz w:val="68"/>
              <w:szCs w:val="68"/>
              <w:lang w:eastAsia="nl-BE"/>
            </w:rPr>
            <w:t>Directeur</w:t>
          </w:r>
        </w:sdtContent>
      </w:sdt>
      <w:r>
        <w:rPr>
          <w:rFonts w:ascii="Calibri Light" w:eastAsia="Calibri" w:hAnsi="Calibri Light" w:cs="Times New Roman"/>
          <w:b/>
          <w:caps/>
          <w:sz w:val="68"/>
          <w:szCs w:val="68"/>
          <w:lang w:eastAsia="nl-BE"/>
        </w:rPr>
        <w:t xml:space="preserve"> </w:t>
      </w:r>
      <w:r>
        <w:rPr>
          <w:rFonts w:ascii="Calibri Light" w:eastAsia="Calibri" w:hAnsi="Calibri Light" w:cs="Times New Roman"/>
          <w:b/>
          <w:caps/>
          <w:sz w:val="48"/>
          <w:szCs w:val="68"/>
          <w:lang w:eastAsia="nl-BE"/>
        </w:rPr>
        <w:t>(h/f/x)</w:t>
      </w:r>
    </w:p>
    <w:p>
      <w:pPr>
        <w:spacing w:after="0" w:line="240" w:lineRule="auto"/>
        <w:rPr>
          <w:rFonts w:ascii="Times New Roman" w:eastAsia="Times New Roman" w:hAnsi="Times New Roman" w:cs="Times New Roman"/>
          <w:color w:val="7F7F7F"/>
          <w:sz w:val="24"/>
          <w:szCs w:val="24"/>
          <w:lang w:eastAsia="fr-FR"/>
        </w:rPr>
      </w:pPr>
    </w:p>
    <w:sdt>
      <w:sdtPr>
        <w:rPr>
          <w:rFonts w:ascii="Calibri Light" w:eastAsia="Calibri" w:hAnsi="Calibri Light" w:cs="Calibri Light"/>
          <w:b/>
          <w:noProof/>
          <w:color w:val="000000" w:themeColor="text1"/>
          <w:sz w:val="48"/>
          <w:szCs w:val="44"/>
          <w:u w:val="single" w:color="C9282D"/>
        </w:rPr>
        <w:alias w:val="Service"/>
        <w:tag w:val=""/>
        <w:id w:val="408118225"/>
        <w:placeholder>
          <w:docPart w:val="C1A32BC6A9ED4180A68271C259367FAC"/>
        </w:placeholder>
        <w:dataBinding w:prefixMappings="xmlns:ns0='http://purl.org/dc/elements/1.1/' xmlns:ns1='http://schemas.openxmlformats.org/package/2006/metadata/core-properties' " w:xpath="/ns1:coreProperties[1]/ns0:creator[1]" w:storeItemID="{6C3C8BC8-F283-45AE-878A-BAB7291924A1}"/>
        <w:text/>
      </w:sdtPr>
      <w:sdtContent>
        <w:p>
          <w:pPr>
            <w:numPr>
              <w:ilvl w:val="1"/>
              <w:numId w:val="0"/>
            </w:numPr>
            <w:spacing w:after="0" w:line="274" w:lineRule="auto"/>
            <w:ind w:left="426"/>
            <w:rPr>
              <w:rFonts w:ascii="Calibri Light" w:eastAsia="Calibri" w:hAnsi="Calibri Light" w:cs="Calibri Light"/>
              <w:b/>
              <w:noProof/>
              <w:sz w:val="48"/>
              <w:szCs w:val="44"/>
              <w:u w:color="C9282D"/>
            </w:rPr>
          </w:pPr>
          <w:r>
            <w:rPr>
              <w:rFonts w:ascii="Calibri Light" w:eastAsia="Calibri" w:hAnsi="Calibri Light" w:cs="Calibri Light"/>
              <w:b/>
              <w:noProof/>
              <w:color w:val="000000" w:themeColor="text1"/>
              <w:sz w:val="48"/>
              <w:szCs w:val="44"/>
              <w:u w:val="single" w:color="C9282D"/>
            </w:rPr>
            <w:t>Ecole fondamentale</w:t>
          </w:r>
        </w:p>
      </w:sdtContent>
    </w:sdt>
    <w:p>
      <w:pPr>
        <w:spacing w:after="0" w:line="240" w:lineRule="auto"/>
        <w:ind w:firstLine="426"/>
        <w:rPr>
          <w:rFonts w:ascii="Calibri Light" w:eastAsia="Times New Roman" w:hAnsi="Calibri Light" w:cs="Calibri Light"/>
          <w:b/>
          <w:sz w:val="36"/>
          <w:szCs w:val="24"/>
          <w:lang w:eastAsia="fr-FR"/>
        </w:rPr>
      </w:pPr>
    </w:p>
    <w:p>
      <w:pPr>
        <w:spacing w:after="0" w:line="240" w:lineRule="auto"/>
        <w:ind w:left="1410"/>
        <w:rPr>
          <w:rFonts w:ascii="Calibri Light" w:eastAsia="Times New Roman" w:hAnsi="Calibri Light" w:cs="Calibri Light"/>
          <w:b/>
          <w:sz w:val="36"/>
          <w:szCs w:val="24"/>
          <w:u w:color="F4AA00"/>
          <w:lang w:eastAsia="fr-FR"/>
        </w:rPr>
      </w:pPr>
      <w:r>
        <w:rPr>
          <w:rFonts w:ascii="Calibri Light" w:eastAsia="Times New Roman" w:hAnsi="Calibri Light" w:cs="Calibri Light"/>
          <w:b/>
          <w:color w:val="000000" w:themeColor="text1"/>
          <w:sz w:val="36"/>
          <w:szCs w:val="24"/>
          <w:u w:val="single" w:color="F4AA00"/>
          <w:lang w:eastAsia="fr-FR"/>
        </w:rPr>
        <w:t>Etablissement : Ecole fondamentale autonome de la Communauté française de Malonne</w:t>
      </w:r>
    </w:p>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headerReference w:type="first" r:id="rId18"/>
          <w:pgSz w:w="11906" w:h="16838" w:code="9"/>
          <w:pgMar w:top="1701" w:right="1134" w:bottom="1134" w:left="1134" w:header="567" w:footer="227" w:gutter="0"/>
          <w:cols w:space="708"/>
          <w:titlePg/>
          <w:docGrid w:linePitch="326"/>
        </w:sect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001D77"/>
          <w:lang w:eastAsia="fr-FR"/>
        </w:rPr>
        <w:t>Référence : WBE CE 2020 005</w:t>
      </w:r>
    </w:p>
    <w:tbl>
      <w:tblPr>
        <w:tblpPr w:leftFromText="141" w:rightFromText="141" w:vertAnchor="text" w:horzAnchor="margin" w:tblpY="-799"/>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C9282D"/>
            <w:vAlign w:val="center"/>
          </w:tcPr>
          <w:bookmarkEnd w:id="3"/>
          <w:bookmarkEnd w:id="4"/>
          <w:bookmarkEnd w:id="5"/>
          <w:bookmarkEnd w:id="6"/>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ascii="Calibri" w:eastAsia="Times New Roman" w:hAnsi="Calibri"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Profil de compétence</w:t>
            </w:r>
          </w:p>
        </w:tc>
      </w:tr>
    </w:tbl>
    <w:p>
      <w:pPr>
        <w:tabs>
          <w:tab w:val="left" w:pos="1985"/>
        </w:tabs>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ascii="Calibri" w:eastAsia="Times New Roman" w:hAnsi="Calibri" w:cs="Times New Roman"/>
          <w:i/>
          <w:color w:val="FFFFFF" w:themeColor="background1"/>
          <w:sz w:val="28"/>
          <w:lang w:eastAsia="fr-FR"/>
        </w:rPr>
        <w:t>Mission de la fonction</w:t>
      </w:r>
    </w:p>
    <w:p>
      <w:pPr>
        <w:tabs>
          <w:tab w:val="left" w:pos="1985"/>
        </w:tabs>
        <w:spacing w:after="0" w:line="240" w:lineRule="auto"/>
        <w:jc w:val="both"/>
        <w:rPr>
          <w:rFonts w:ascii="Calibri" w:eastAsia="Times New Roman" w:hAnsi="Calibri" w:cs="Times New Roman"/>
          <w:color w:val="000000"/>
          <w:lang w:eastAsia="fr-FR"/>
        </w:rPr>
      </w:pPr>
      <w:r>
        <w:rPr>
          <w:rFonts w:ascii="Calibri" w:eastAsia="Times New Roman" w:hAnsi="Calibri" w:cs="Times New Roman"/>
          <w:color w:val="000000"/>
          <w:lang w:eastAsia="fr-FR"/>
        </w:rPr>
        <w:br/>
        <w:t>Le</w:t>
      </w:r>
      <w:r>
        <w:rPr>
          <w:rFonts w:ascii="Calibri" w:eastAsia="Times New Roman" w:hAnsi="Calibri" w:cs="Times New Roman"/>
          <w:color w:val="000000"/>
          <w:sz w:val="14"/>
          <w:lang w:eastAsia="fr-FR"/>
        </w:rPr>
        <w:t>•</w:t>
      </w:r>
      <w:r>
        <w:rPr>
          <w:rFonts w:ascii="Calibri" w:eastAsia="Times New Roman" w:hAnsi="Calibri" w:cs="Times New Roman"/>
          <w:color w:val="000000"/>
          <w:lang w:eastAsia="fr-FR"/>
        </w:rPr>
        <w:t>a directeur</w:t>
      </w:r>
      <w:r>
        <w:rPr>
          <w:rFonts w:ascii="Calibri" w:eastAsia="Times New Roman" w:hAnsi="Calibri" w:cs="Times New Roman"/>
          <w:color w:val="000000"/>
          <w:sz w:val="14"/>
          <w:szCs w:val="14"/>
          <w:lang w:eastAsia="fr-FR"/>
        </w:rPr>
        <w:t>•</w:t>
      </w:r>
      <w:r>
        <w:rPr>
          <w:rFonts w:ascii="Calibri" w:eastAsia="Times New Roman" w:hAnsi="Calibri" w:cs="Times New Roman"/>
          <w:color w:val="000000"/>
          <w:lang w:eastAsia="fr-FR"/>
        </w:rPr>
        <w:t xml:space="preserve">rice a une compétence générale de pilotage et d’organisation de l’établissement. </w:t>
      </w:r>
      <w:r>
        <w:rPr>
          <w:rFonts w:ascii="Calibri" w:eastAsia="Times New Roman" w:hAnsi="Calibri" w:cs="Times New Roman"/>
          <w:color w:val="000000"/>
          <w:lang w:eastAsia="fr-FR"/>
        </w:rPr>
        <w:br/>
        <w:t>Il/Elle assume les responsabilités que son pouvoir organisateur, WBE, lui confie selon 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2961"/>
        <w:gridCol w:w="1634"/>
        <w:gridCol w:w="1174"/>
        <w:gridCol w:w="337"/>
        <w:gridCol w:w="771"/>
        <w:gridCol w:w="1201"/>
      </w:tblGrid>
      <w:tr>
        <w:trPr>
          <w:gridAfter w:val="5"/>
          <w:wAfter w:w="4923" w:type="dxa"/>
          <w:trHeight w:val="311"/>
        </w:trPr>
        <w:tc>
          <w:tcPr>
            <w:tcW w:w="3155" w:type="dxa"/>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trPr>
          <w:trHeight w:val="460"/>
        </w:trPr>
        <w:tc>
          <w:tcPr>
            <w:tcW w:w="3155" w:type="dxa"/>
            <w:vMerge w:val="restart"/>
            <w:tcBorders>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41" w:type="dxa"/>
            <w:gridSpan w:val="2"/>
            <w:tcBorders>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p>
        </w:tc>
        <w:tc>
          <w:tcPr>
            <w:tcW w:w="949"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Régulière(s)</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Ponctuelle(s)</w:t>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41"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41"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 xml:space="preserve"> FORMCHECKBOX </w:instrText>
            </w:r>
            <w:r>
              <w:fldChar w:fldCharType="separate"/>
            </w:r>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41"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41"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r>
              <w:fldChar w:fldCharType="end"/>
            </w:r>
          </w:p>
        </w:tc>
      </w:tr>
      <w:tr>
        <w:trPr>
          <w:gridAfter w:val="5"/>
          <w:wAfter w:w="4923" w:type="dxa"/>
          <w:trHeight w:val="269"/>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2"/>
          <w:wAfter w:w="1695" w:type="dxa"/>
          <w:trHeight w:val="460"/>
        </w:trPr>
        <w:tc>
          <w:tcPr>
            <w:tcW w:w="3155" w:type="dxa"/>
            <w:vMerge/>
            <w:tcBorders>
              <w:top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685" w:type="dxa"/>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7" w:name="__Fieldmark__353_2749759877"/>
            <w:bookmarkEnd w:id="7"/>
            <w:r>
              <w:fldChar w:fldCharType="end"/>
            </w:r>
            <w:r>
              <w:rPr>
                <w:rFonts w:eastAsia="Times New Roman" w:cs="Times New Roman"/>
                <w:color w:val="000000"/>
                <w:lang w:eastAsia="fr-FR"/>
              </w:rPr>
              <w:t xml:space="preserve"> Bureau</w:t>
            </w:r>
          </w:p>
        </w:tc>
        <w:tc>
          <w:tcPr>
            <w:tcW w:w="1543" w:type="dxa"/>
            <w:gridSpan w:val="2"/>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8" w:name="__Fieldmark__357_2749759877"/>
            <w:bookmarkEnd w:id="8"/>
            <w:r>
              <w:fldChar w:fldCharType="end"/>
            </w:r>
            <w:r>
              <w:rPr>
                <w:rFonts w:eastAsia="Times New Roman" w:cs="Times New Roman"/>
                <w:color w:val="000000"/>
                <w:lang w:eastAsia="fr-FR"/>
              </w:rPr>
              <w:t xml:space="preserve"> Itinérant</w:t>
            </w:r>
          </w:p>
        </w:tc>
      </w:tr>
      <w:tr>
        <w:trPr>
          <w:gridAfter w:val="5"/>
          <w:wAfter w:w="4923" w:type="dxa"/>
          <w:trHeight w:val="460"/>
        </w:trPr>
        <w:tc>
          <w:tcPr>
            <w:tcW w:w="3155" w:type="dxa"/>
            <w:shd w:val="clear" w:color="auto" w:fill="auto"/>
          </w:tcPr>
          <w:p/>
        </w:tc>
      </w:tr>
    </w:tbl>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ascii="Calibri" w:eastAsia="Times New Roman" w:hAnsi="Calibri" w:cs="Times New Roman"/>
          <w:i/>
          <w:color w:val="FFFFFF" w:themeColor="background1"/>
          <w:sz w:val="28"/>
          <w:lang w:eastAsia="fr-FR"/>
        </w:rPr>
        <w:t>Missions de WBE en tant que pouvoir organisateur</w:t>
      </w:r>
    </w:p>
    <w:p>
      <w:pPr>
        <w:tabs>
          <w:tab w:val="left" w:pos="1985"/>
        </w:tabs>
        <w:spacing w:after="0" w:line="240" w:lineRule="auto"/>
        <w:jc w:val="both"/>
        <w:rPr>
          <w:rFonts w:ascii="Calibri" w:eastAsia="Times New Roman" w:hAnsi="Calibri" w:cs="Times New Roman"/>
          <w:b/>
          <w:color w:val="000000"/>
          <w:lang w:eastAsia="fr-FR"/>
        </w:rPr>
      </w:pPr>
    </w:p>
    <w:p>
      <w:pPr>
        <w:spacing w:after="0" w:line="240" w:lineRule="auto"/>
        <w:jc w:val="both"/>
        <w:rPr>
          <w:rFonts w:ascii="Calibri" w:eastAsia="Times New Roman" w:hAnsi="Calibri" w:cs="Times New Roman"/>
          <w:color w:val="000000"/>
          <w:lang w:eastAsia="fr-FR"/>
        </w:rPr>
      </w:pPr>
      <w:r>
        <w:rPr>
          <w:rFonts w:ascii="Calibri" w:eastAsia="Times New Roman" w:hAnsi="Calibri" w:cs="Times New Roman"/>
          <w:color w:val="000000"/>
          <w:lang w:eastAsia="fr-FR"/>
        </w:rPr>
        <w:t>Wallonie Bruxelles Enseignement (WBE)</w:t>
      </w:r>
      <w:r>
        <w:rPr>
          <w:rFonts w:ascii="Calibri" w:eastAsia="Times New Roman" w:hAnsi="Calibri" w:cs="Times New Roman"/>
          <w:b/>
          <w:bCs/>
          <w:color w:val="000000"/>
          <w:lang w:eastAsia="fr-FR"/>
        </w:rPr>
        <w:t xml:space="preserve"> est le plus important pouvoir organisateur d’enseignement dans l’espace belge francophone. Nous</w:t>
      </w:r>
      <w:r>
        <w:rPr>
          <w:rFonts w:ascii="Calibri" w:eastAsia="Times New Roman" w:hAnsi="Calibri" w:cs="Times New Roman"/>
          <w:color w:val="000000"/>
          <w:lang w:eastAsia="fr-FR"/>
        </w:rPr>
        <w:t xml:space="preserve"> rassemblons 365 établissements scolaires </w:t>
      </w:r>
      <w:r>
        <w:rPr>
          <w:rFonts w:ascii="Calibri" w:eastAsia="Times New Roman" w:hAnsi="Calibri" w:cs="Times New Roman"/>
          <w:b/>
          <w:bCs/>
          <w:color w:val="000000"/>
          <w:lang w:eastAsia="fr-FR"/>
        </w:rPr>
        <w:t>et 150 institutions apparentées (internats, centres PMS, etc.), </w:t>
      </w:r>
      <w:r>
        <w:rPr>
          <w:rFonts w:ascii="Calibri" w:eastAsia="Times New Roman" w:hAnsi="Calibri" w:cs="Times New Roman"/>
          <w:color w:val="000000"/>
          <w:lang w:eastAsia="fr-FR"/>
        </w:rPr>
        <w:t>répartis sur l’ensemble du territoire de la Fédération Wallonie-Bruxelles.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ascii="Calibri" w:eastAsia="Times New Roman" w:hAnsi="Calibri" w:cs="Times New Roman"/>
          <w:b/>
          <w:bCs/>
          <w:color w:val="000000"/>
          <w:lang w:eastAsia="fr-FR"/>
        </w:rPr>
        <w:t xml:space="preserve">Ce service public accueille </w:t>
      </w:r>
      <w:r>
        <w:rPr>
          <w:rFonts w:ascii="Calibri" w:eastAsia="Times New Roman" w:hAnsi="Calibri" w:cs="Times New Roman"/>
          <w:color w:val="000000"/>
          <w:lang w:eastAsia="fr-FR"/>
        </w:rPr>
        <w:t>plus de 211 000 élèves ou étudiants de la maternelle à l’enseignement supérieur et emploie plus de 30 000 personnes. WBE, c’est aussi 3.200.000 m2 de bâtiments scolaires distribués sur 800 sites géographiques.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ascii="Calibri" w:eastAsia="Times New Roman" w:hAnsi="Calibri" w:cs="Times New Roman"/>
          <w:color w:val="000000"/>
          <w:lang w:eastAsia="fr-FR"/>
        </w:rPr>
        <w:t>Le décret spécial du 7 février 2019 crée un organisme public autonome chargé de la compétence de pouvoir organisateur de l’Enseignement de la Communauté française.</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ascii="Calibri" w:eastAsia="Times New Roman" w:hAnsi="Calibri" w:cs="Times New Roman"/>
          <w:color w:val="000000"/>
          <w:lang w:eastAsia="fr-FR"/>
        </w:rPr>
        <w:t>La mission générale est de participer à l’organisation, à la bonne marche et au développement au quotidien du réseau d’enseignement organisé par la WBE et de tous ses établissements d’enseignement, cela au bénéfice de tous ses membres des personnels et, à travers eux, de tous ses élèves et de tous ses étudiants.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ascii="Calibri" w:eastAsia="Times New Roman" w:hAnsi="Calibri"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Profil de compétence</w:t>
            </w:r>
          </w:p>
        </w:tc>
      </w:tr>
    </w:tbl>
    <w:p>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ascii="Calibri" w:eastAsia="Times New Roman" w:hAnsi="Calibri" w:cs="Times New Roman"/>
          <w:i/>
          <w:color w:val="FFFFFF" w:themeColor="background1"/>
          <w:sz w:val="28"/>
          <w:lang w:eastAsia="fr-FR"/>
        </w:rPr>
        <w:t>Charte des valeurs de WBE</w:t>
      </w:r>
    </w:p>
    <w:p>
      <w:pPr>
        <w:spacing w:after="0" w:line="240" w:lineRule="auto"/>
        <w:rPr>
          <w:rFonts w:ascii="Times New Roman" w:eastAsia="Times New Roman" w:hAnsi="Times New Roman" w:cs="Times New Roman"/>
          <w:color w:val="000000"/>
          <w:sz w:val="24"/>
          <w:szCs w:val="24"/>
          <w:lang w:val="fr-FR" w:eastAsia="fr-FR"/>
        </w:rPr>
      </w:pPr>
    </w:p>
    <w:p>
      <w:pPr>
        <w:spacing w:after="0" w:line="240" w:lineRule="auto"/>
        <w:jc w:val="both"/>
        <w:rPr>
          <w:rFonts w:ascii="Calibri" w:eastAsia="Times New Roman" w:hAnsi="Calibri" w:cs="Calibri"/>
          <w:color w:val="000000"/>
          <w:szCs w:val="24"/>
          <w:lang w:val="fr-FR" w:eastAsia="fr-FR"/>
        </w:rPr>
      </w:pPr>
      <w:r>
        <w:rPr>
          <w:rFonts w:ascii="Calibri" w:eastAsia="Times New Roman" w:hAnsi="Calibri" w:cs="Calibri"/>
          <w:color w:val="000000"/>
          <w:szCs w:val="24"/>
          <w:lang w:val="fr-FR" w:eastAsia="fr-FR"/>
        </w:rPr>
        <w:t xml:space="preserve">WBE, par l’engagement et la qualité du travail de ses personnels, offre à chaque étudiant, à chaque élève et à sa famille, la possibilité de vivre et de partager des valeurs essentielles : </w:t>
      </w:r>
    </w:p>
    <w:p>
      <w:pPr>
        <w:spacing w:after="0" w:line="240" w:lineRule="auto"/>
        <w:jc w:val="both"/>
        <w:rPr>
          <w:rFonts w:ascii="Calibri" w:eastAsia="Times New Roman" w:hAnsi="Calibri" w:cs="Calibri"/>
          <w:color w:val="000000"/>
          <w:szCs w:val="24"/>
          <w:lang w:val="fr-FR" w:eastAsia="fr-FR"/>
        </w:rPr>
      </w:pPr>
    </w:p>
    <w:p>
      <w:pPr>
        <w:spacing w:after="0" w:line="240" w:lineRule="auto"/>
        <w:jc w:val="both"/>
        <w:rPr>
          <w:rFonts w:ascii="Calibri" w:eastAsia="Times New Roman" w:hAnsi="Calibri" w:cs="Calibri"/>
          <w:b/>
          <w:bCs/>
          <w:i/>
          <w:color w:val="000000"/>
          <w:szCs w:val="27"/>
          <w:lang w:val="fr-FR" w:eastAsia="fr-FR"/>
        </w:rPr>
      </w:pPr>
      <w:r>
        <w:rPr>
          <w:rFonts w:ascii="Calibri" w:eastAsia="Times New Roman" w:hAnsi="Calibri" w:cs="Calibri"/>
          <w:b/>
          <w:bCs/>
          <w:i/>
          <w:color w:val="000000"/>
          <w:szCs w:val="27"/>
          <w:lang w:val="fr-FR" w:eastAsia="fr-FR"/>
        </w:rPr>
        <w:t>Démocratie</w:t>
      </w:r>
    </w:p>
    <w:p>
      <w:pPr>
        <w:spacing w:after="0" w:line="240" w:lineRule="auto"/>
        <w:jc w:val="both"/>
        <w:rPr>
          <w:rFonts w:ascii="Calibri" w:eastAsia="Times New Roman" w:hAnsi="Calibri" w:cs="Calibri"/>
          <w:color w:val="000000"/>
          <w:szCs w:val="27"/>
          <w:lang w:val="fr-FR" w:eastAsia="fr-FR"/>
        </w:rPr>
      </w:pPr>
      <w:r>
        <w:rPr>
          <w:rFonts w:ascii="Calibri" w:eastAsia="Times New Roman" w:hAnsi="Calibri"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pPr>
        <w:spacing w:after="0" w:line="240" w:lineRule="auto"/>
        <w:jc w:val="both"/>
        <w:rPr>
          <w:rFonts w:ascii="Calibri" w:eastAsia="Times New Roman" w:hAnsi="Calibri" w:cs="Calibri"/>
          <w:color w:val="000000"/>
          <w:szCs w:val="27"/>
          <w:lang w:val="fr-FR" w:eastAsia="fr-FR"/>
        </w:rPr>
      </w:pPr>
    </w:p>
    <w:p>
      <w:pPr>
        <w:spacing w:after="0" w:line="240" w:lineRule="auto"/>
        <w:jc w:val="both"/>
        <w:rPr>
          <w:rFonts w:ascii="Calibri" w:eastAsia="Times New Roman" w:hAnsi="Calibri" w:cs="Calibri"/>
          <w:b/>
          <w:bCs/>
          <w:i/>
          <w:color w:val="000000"/>
          <w:szCs w:val="27"/>
          <w:lang w:val="fr-FR" w:eastAsia="fr-FR"/>
        </w:rPr>
      </w:pPr>
      <w:r>
        <w:rPr>
          <w:rFonts w:ascii="Calibri" w:eastAsia="Times New Roman" w:hAnsi="Calibri" w:cs="Calibri"/>
          <w:b/>
          <w:bCs/>
          <w:i/>
          <w:color w:val="000000"/>
          <w:szCs w:val="27"/>
          <w:lang w:val="fr-FR" w:eastAsia="fr-FR"/>
        </w:rPr>
        <w:t>Ouverture et démarche scientifique</w:t>
      </w:r>
    </w:p>
    <w:p>
      <w:pPr>
        <w:spacing w:after="0" w:line="240" w:lineRule="auto"/>
        <w:jc w:val="both"/>
        <w:rPr>
          <w:rFonts w:ascii="Calibri" w:eastAsia="Times New Roman" w:hAnsi="Calibri" w:cs="Calibri"/>
          <w:color w:val="000000"/>
          <w:szCs w:val="27"/>
          <w:lang w:val="fr-FR" w:eastAsia="fr-FR"/>
        </w:rPr>
      </w:pPr>
      <w:r>
        <w:rPr>
          <w:rFonts w:ascii="Calibri" w:eastAsia="Times New Roman" w:hAnsi="Calibri"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pPr>
        <w:shd w:val="clear" w:color="auto" w:fill="FFFFFF"/>
        <w:spacing w:after="150" w:line="240" w:lineRule="auto"/>
        <w:jc w:val="both"/>
        <w:rPr>
          <w:rFonts w:ascii="Calibri" w:eastAsia="Times New Roman" w:hAnsi="Calibri" w:cs="Calibri"/>
          <w:color w:val="000000"/>
          <w:szCs w:val="27"/>
          <w:lang w:eastAsia="fr-BE"/>
        </w:rPr>
      </w:pPr>
      <w:r>
        <w:rPr>
          <w:rFonts w:ascii="Calibri" w:eastAsia="Times New Roman" w:hAnsi="Calibri" w:cs="Calibri"/>
          <w:color w:val="000000"/>
          <w:szCs w:val="27"/>
          <w:lang w:eastAsia="fr-BE"/>
        </w:rPr>
        <w:t>Il développe le goût des élèves et des étudiants à rechercher la vérité avec une constante honnêteté intellectuelle, toute de rigueur, d’objectivité, de rationalité et de tolérance.</w:t>
      </w:r>
    </w:p>
    <w:p>
      <w:pPr>
        <w:shd w:val="clear" w:color="auto" w:fill="FFFFFF"/>
        <w:spacing w:after="0" w:line="240" w:lineRule="auto"/>
        <w:jc w:val="both"/>
        <w:rPr>
          <w:rFonts w:ascii="Calibri" w:eastAsia="Times New Roman" w:hAnsi="Calibri" w:cs="Calibri"/>
          <w:b/>
          <w:bCs/>
          <w:i/>
          <w:color w:val="000000"/>
          <w:szCs w:val="27"/>
          <w:lang w:eastAsia="fr-BE"/>
        </w:rPr>
      </w:pPr>
      <w:r>
        <w:rPr>
          <w:rFonts w:ascii="Calibri" w:eastAsia="Times New Roman" w:hAnsi="Calibri" w:cs="Calibri"/>
          <w:b/>
          <w:bCs/>
          <w:i/>
          <w:color w:val="000000"/>
          <w:szCs w:val="27"/>
          <w:lang w:eastAsia="fr-BE"/>
        </w:rPr>
        <w:t>Respect et neutralité</w:t>
      </w:r>
    </w:p>
    <w:p>
      <w:pPr>
        <w:shd w:val="clear" w:color="auto" w:fill="FFFFFF"/>
        <w:spacing w:after="0" w:line="240" w:lineRule="auto"/>
        <w:jc w:val="both"/>
        <w:rPr>
          <w:rFonts w:ascii="Calibri" w:eastAsia="Times New Roman" w:hAnsi="Calibri" w:cs="Calibri"/>
          <w:color w:val="000000"/>
          <w:szCs w:val="27"/>
          <w:lang w:eastAsia="fr-BE"/>
        </w:rPr>
      </w:pPr>
      <w:r>
        <w:rPr>
          <w:rFonts w:ascii="Calibri" w:eastAsia="Times New Roman" w:hAnsi="Calibri"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pPr>
        <w:shd w:val="clear" w:color="auto" w:fill="FFFFFF"/>
        <w:spacing w:after="0" w:line="240" w:lineRule="auto"/>
        <w:jc w:val="both"/>
        <w:rPr>
          <w:rFonts w:ascii="Calibri" w:eastAsia="Times New Roman" w:hAnsi="Calibri" w:cs="Calibri"/>
          <w:b/>
          <w:bCs/>
          <w:i/>
          <w:color w:val="000000"/>
          <w:szCs w:val="27"/>
          <w:lang w:eastAsia="fr-BE"/>
        </w:rPr>
      </w:pPr>
    </w:p>
    <w:p>
      <w:pPr>
        <w:shd w:val="clear" w:color="auto" w:fill="FFFFFF"/>
        <w:spacing w:after="0" w:line="240" w:lineRule="auto"/>
        <w:jc w:val="both"/>
        <w:rPr>
          <w:rFonts w:ascii="Calibri" w:eastAsia="Times New Roman" w:hAnsi="Calibri" w:cs="Calibri"/>
          <w:b/>
          <w:bCs/>
          <w:i/>
          <w:color w:val="000000"/>
          <w:szCs w:val="27"/>
          <w:lang w:eastAsia="fr-BE"/>
        </w:rPr>
      </w:pPr>
      <w:r>
        <w:rPr>
          <w:rFonts w:ascii="Calibri" w:eastAsia="Times New Roman" w:hAnsi="Calibri" w:cs="Calibri"/>
          <w:b/>
          <w:bCs/>
          <w:i/>
          <w:color w:val="000000"/>
          <w:szCs w:val="27"/>
          <w:lang w:eastAsia="fr-BE"/>
        </w:rPr>
        <w:t>Emancipation sociale</w:t>
      </w:r>
    </w:p>
    <w:p>
      <w:pPr>
        <w:shd w:val="clear" w:color="auto" w:fill="FFFFFF"/>
        <w:spacing w:after="150" w:line="240" w:lineRule="auto"/>
        <w:jc w:val="both"/>
        <w:rPr>
          <w:rFonts w:ascii="Calibri" w:eastAsia="Times New Roman" w:hAnsi="Calibri" w:cs="Calibri"/>
          <w:color w:val="000000"/>
          <w:szCs w:val="27"/>
          <w:lang w:eastAsia="fr-BE"/>
        </w:rPr>
      </w:pPr>
      <w:r>
        <w:rPr>
          <w:rFonts w:ascii="Calibri" w:eastAsia="Times New Roman" w:hAnsi="Calibri"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ascii="Calibri" w:eastAsia="Times New Roman" w:hAnsi="Calibri" w:cs="Calibri"/>
          <w:color w:val="000000"/>
          <w:szCs w:val="27"/>
          <w:lang w:eastAsia="fr-BE"/>
        </w:rPr>
        <w:tab/>
      </w:r>
      <w:r>
        <w:rPr>
          <w:rFonts w:ascii="Calibri" w:eastAsia="Times New Roman" w:hAnsi="Calibri" w:cs="Calibri"/>
          <w:color w:val="000000"/>
          <w:szCs w:val="27"/>
          <w:lang w:eastAsia="fr-BE"/>
        </w:rPr>
        <w:br/>
        <w:t>Actif face aux inégalités sociales, WBE soutient les moins favorisés afin qu’aucun choix ne leur soit interdit pour des raisons liées à leur milieu d’origine.</w:t>
      </w:r>
      <w:r>
        <w:rPr>
          <w:rFonts w:ascii="Calibri" w:eastAsia="Times New Roman" w:hAnsi="Calibri" w:cs="Calibri"/>
          <w:color w:val="000000"/>
          <w:szCs w:val="27"/>
          <w:lang w:eastAsia="fr-BE"/>
        </w:rPr>
        <w:tab/>
      </w:r>
      <w:r>
        <w:rPr>
          <w:rFonts w:ascii="Calibri" w:eastAsia="Times New Roman" w:hAnsi="Calibri" w:cs="Calibri"/>
          <w:color w:val="000000"/>
          <w:szCs w:val="27"/>
          <w:lang w:eastAsia="fr-BE"/>
        </w:rPr>
        <w:br/>
        <w:t>Confiants en eux, conscients de leurs potentialités, l’élève et l’étudiant construisent leur émancipation intellectuelle, gage de leur émancipation sociale.</w:t>
      </w: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after="0" w:line="240" w:lineRule="auto"/>
        <w:rPr>
          <w:rFonts w:ascii="Calibri" w:eastAsia="Times New Roman" w:hAnsi="Calibri" w:cs="Times New Roman"/>
          <w:color w:val="000000"/>
          <w:lang w:eastAsia="fr-FR"/>
        </w:rPr>
      </w:pPr>
      <w:r>
        <w:rPr>
          <w:rFonts w:ascii="Calibri" w:eastAsia="Times New Roman" w:hAnsi="Calibri" w:cs="Times New Roman"/>
          <w:color w:val="000000"/>
          <w:lang w:eastAsia="fr-FR"/>
        </w:rPr>
        <w:br w:type="page"/>
      </w:r>
    </w:p>
    <w:tbl>
      <w:tblPr>
        <w:tblpPr w:leftFromText="141" w:rightFromText="141" w:vertAnchor="text" w:horzAnchor="margin" w:tblpY="-743"/>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ascii="Calibri" w:eastAsia="Times New Roman" w:hAnsi="Calibri"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Profil de compétence</w:t>
            </w:r>
          </w:p>
        </w:tc>
      </w:tr>
    </w:tbl>
    <w:p>
      <w:pPr>
        <w:tabs>
          <w:tab w:val="left" w:pos="1985"/>
        </w:tabs>
        <w:spacing w:after="0" w:line="240" w:lineRule="auto"/>
        <w:jc w:val="both"/>
        <w:rPr>
          <w:rFonts w:ascii="Calibri" w:eastAsia="Times New Roman" w:hAnsi="Calibri" w:cs="Times New Roman"/>
          <w:lang w:eastAsia="fr-FR"/>
        </w:rPr>
      </w:pPr>
      <w:r>
        <w:rPr>
          <w:rFonts w:ascii="Calibri" w:eastAsia="Times New Roman" w:hAnsi="Calibri" w:cs="Times New Roman"/>
          <w:lang w:eastAsia="fr-FR"/>
        </w:rPr>
        <w:br/>
        <w:t xml:space="preserve">En tant que </w:t>
      </w:r>
      <w:r>
        <w:rPr>
          <w:rFonts w:ascii="Calibri" w:eastAsia="Times New Roman" w:hAnsi="Calibri" w:cs="Times New Roman"/>
          <w:b/>
          <w:lang w:eastAsia="fr-FR"/>
        </w:rPr>
        <w:t>Directeur (H/F/X)</w:t>
      </w:r>
      <w:r>
        <w:rPr>
          <w:rFonts w:ascii="Calibri" w:eastAsia="Times New Roman" w:hAnsi="Calibri" w:cs="Times New Roman"/>
          <w:lang w:eastAsia="fr-FR"/>
        </w:rPr>
        <w:t xml:space="preserve">, vous pouvez être amené à : </w:t>
      </w:r>
      <w:r>
        <w:rPr>
          <w:rFonts w:ascii="Calibri" w:eastAsia="Times New Roman" w:hAnsi="Calibri" w:cs="Times New Roman"/>
          <w:lang w:eastAsia="fr-FR"/>
        </w:rPr>
        <w:tab/>
      </w:r>
      <w:r>
        <w:rPr>
          <w:rFonts w:ascii="Calibri" w:eastAsia="Times New Roman" w:hAnsi="Calibri" w:cs="Times New Roman"/>
          <w:lang w:eastAsia="fr-FR"/>
        </w:rPr>
        <w:br/>
      </w:r>
    </w:p>
    <w:p>
      <w:pPr>
        <w:shd w:val="clear" w:color="auto" w:fill="F4AA00"/>
        <w:tabs>
          <w:tab w:val="left" w:pos="1985"/>
        </w:tabs>
        <w:spacing w:after="0" w:line="240" w:lineRule="auto"/>
        <w:ind w:left="-70"/>
        <w:jc w:val="center"/>
        <w:rPr>
          <w:rFonts w:ascii="Calibri" w:eastAsia="Times New Roman" w:hAnsi="Calibri" w:cs="Calibri"/>
          <w:bCs/>
          <w:i/>
          <w:sz w:val="28"/>
          <w:shd w:val="clear" w:color="auto" w:fill="FBD4B4"/>
          <w:lang w:eastAsia="fr-FR"/>
        </w:rPr>
      </w:pPr>
      <w:r>
        <w:rPr>
          <w:rFonts w:ascii="Calibri" w:eastAsia="Times New Roman" w:hAnsi="Calibri" w:cs="Calibri"/>
          <w:bCs/>
          <w:i/>
          <w:sz w:val="28"/>
          <w:shd w:val="clear" w:color="auto" w:fill="F4AA00"/>
          <w:lang w:eastAsia="fr-FR"/>
        </w:rPr>
        <w:t xml:space="preserve"> La production de sens</w:t>
      </w:r>
    </w:p>
    <w:p>
      <w:pPr>
        <w:shd w:val="clear" w:color="auto" w:fill="FFFFFF"/>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b/>
          <w:bCs/>
          <w:lang w:eastAsia="fr-FR"/>
        </w:rPr>
      </w:pPr>
      <w:r>
        <w:rPr>
          <w:rFonts w:ascii="Calibri" w:eastAsia="Times New Roman" w:hAnsi="Calibri" w:cs="Calibri"/>
          <w:bCs/>
          <w:lang w:eastAsia="fr-FR"/>
        </w:rPr>
        <w:t>Expliciter régulièrement aux acteurs de l’école sur quelles valeurs se fonde l’action pédagogique et éducative, développée au service des élèves, dans le cadre du projet du pouvoir organisateur et donne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ascii="Calibri" w:eastAsia="Times New Roman" w:hAnsi="Calibri" w:cs="Calibri"/>
          <w:b/>
          <w:bCs/>
          <w:lang w:eastAsia="fr-FR"/>
        </w:rPr>
        <w:t>.</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FR"/>
        </w:rPr>
        <w:t>Incarner les valeurs fondant l’action pédagogique et éducative prônée par le pouvoir organisateur, les finalités et les objectifs visés dans l’école.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r>
        <w:rPr>
          <w:rFonts w:ascii="Calibri" w:eastAsia="Times New Roman" w:hAnsi="Calibri" w:cs="Calibri"/>
          <w:lang w:eastAsia="fr-FR"/>
        </w:rPr>
        <w:t xml:space="preserve">Confronter régulièrement les processus et les résultats de l’action aux valeurs, aux finalités et aux objectifs annoncés. </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shd w:val="clear" w:color="auto" w:fill="F4AA00"/>
        <w:tabs>
          <w:tab w:val="left" w:pos="1985"/>
        </w:tabs>
        <w:spacing w:after="0" w:line="240" w:lineRule="auto"/>
        <w:ind w:left="-70"/>
        <w:jc w:val="center"/>
        <w:rPr>
          <w:rFonts w:ascii="Calibri" w:eastAsia="Times New Roman" w:hAnsi="Calibri" w:cs="Calibri"/>
          <w:bCs/>
          <w:sz w:val="24"/>
          <w:lang w:eastAsia="fr-FR"/>
        </w:rPr>
      </w:pPr>
      <w:r>
        <w:rPr>
          <w:rFonts w:ascii="Calibri" w:eastAsia="Times New Roman" w:hAnsi="Calibri" w:cs="Calibri"/>
          <w:bCs/>
          <w:i/>
          <w:sz w:val="28"/>
          <w:shd w:val="clear" w:color="auto" w:fill="F4AA00"/>
          <w:lang w:eastAsia="fr-FR"/>
        </w:rPr>
        <w:t xml:space="preserve"> Le pilotage stratégique et opérationnel global de l’école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Dans l’enseignement maternel et dans l’enseignement obligatoire, en tant que leader pédagogique et éducatif, piloter la co-construction du projet d’établissement et du plan de pilotage de l’école, en menant à bien le processus de contractualisation y afférent ainsi que la mise en œuvre collective du contrat d’objectifs (ou le cas échéant, le protocole de collaboration).</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Assumer l’interface entre le Pouvoir organisateur et l’ensemble des acteurs de l’école.</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Participer, avec les acteurs de l’école, à la co-construction de la culture d’école et/ou la développer en cohérence avec les valeurs du système éducatif et celles du Pouvoir organisateur.</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Endosser le rôle de leader pédagogique et éducatif dans tous processus décisionnel.</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Favoriser une réflexion stratégique et prospective sur le devenir de l’école.</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Faire de l’école une organisation apprenante et y encourager l’innovation, notamment didactique et pédagogique.</w:t>
      </w:r>
    </w:p>
    <w:p>
      <w:pPr>
        <w:tabs>
          <w:tab w:val="left" w:pos="1985"/>
        </w:tabs>
        <w:spacing w:after="0" w:line="240" w:lineRule="auto"/>
        <w:ind w:left="-70"/>
        <w:jc w:val="both"/>
        <w:rPr>
          <w:rFonts w:ascii="Calibri" w:eastAsia="Times New Roman" w:hAnsi="Calibri" w:cs="Calibri"/>
          <w:bCs/>
          <w:lang w:eastAsia="fr-FR"/>
        </w:rPr>
      </w:pP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Responsabilités spécifiques pour l’EFACF de Malonne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pPr>
    </w:p>
    <w:p>
      <w:pPr>
        <w:pStyle w:val="Paragraphedeliste"/>
        <w:numPr>
          <w:ilvl w:val="0"/>
          <w:numId w:val="46"/>
        </w:numPr>
        <w:pBdr>
          <w:top w:val="single" w:sz="4" w:space="1" w:color="auto"/>
          <w:left w:val="single" w:sz="4" w:space="4" w:color="auto"/>
          <w:bottom w:val="single" w:sz="4" w:space="1" w:color="auto"/>
          <w:right w:val="single" w:sz="4" w:space="4" w:color="auto"/>
        </w:pBdr>
        <w:tabs>
          <w:tab w:val="left" w:pos="1985"/>
        </w:tabs>
        <w:spacing w:after="0" w:line="240" w:lineRule="auto"/>
        <w:jc w:val="both"/>
        <w:rPr>
          <w:rFonts w:eastAsia="Times New Roman" w:cs="Calibri"/>
          <w:lang w:eastAsia="fr-BE"/>
        </w:rPr>
      </w:pPr>
      <w:r>
        <w:t xml:space="preserve">Au sein de l’école, le conseil de participation est constitué mais se réunit rarement, le nouveau Directeur (H/F/X) aura notamment pour mission de le redynamiser. </w:t>
      </w:r>
    </w:p>
    <w:p>
      <w:pPr>
        <w:pStyle w:val="Paragraphedeliste"/>
        <w:numPr>
          <w:ilvl w:val="0"/>
          <w:numId w:val="46"/>
        </w:numPr>
        <w:pBdr>
          <w:top w:val="single" w:sz="4" w:space="1" w:color="auto"/>
          <w:left w:val="single" w:sz="4" w:space="4" w:color="auto"/>
          <w:bottom w:val="single" w:sz="4" w:space="1" w:color="auto"/>
          <w:right w:val="single" w:sz="4" w:space="4" w:color="auto"/>
        </w:pBdr>
        <w:tabs>
          <w:tab w:val="left" w:pos="1985"/>
        </w:tabs>
        <w:spacing w:after="0" w:line="240" w:lineRule="auto"/>
        <w:jc w:val="both"/>
        <w:rPr>
          <w:rFonts w:eastAsia="Times New Roman" w:cs="Calibri"/>
          <w:lang w:eastAsia="fr-BE"/>
        </w:rPr>
      </w:pPr>
      <w:r>
        <w:t xml:space="preserve">Le nouveau directeur (H/F/X) devra être attentif à maintenir et faire progresser la population scolaire sur l’implantation de Mornimont.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tbl>
      <w:tblPr>
        <w:tblpPr w:leftFromText="141" w:rightFromText="141" w:vertAnchor="text" w:horzAnchor="margin" w:tblpY="-672"/>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ascii="Calibri" w:eastAsia="Times New Roman" w:hAnsi="Calibri"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Profil de compétence</w:t>
            </w:r>
          </w:p>
        </w:tc>
      </w:tr>
    </w:tbl>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shd w:val="clear" w:color="auto" w:fill="F4AA00"/>
          <w:lang w:eastAsia="fr-FR"/>
        </w:rPr>
      </w:pPr>
      <w:r>
        <w:rPr>
          <w:rFonts w:ascii="Calibri" w:eastAsia="Times New Roman" w:hAnsi="Calibri" w:cs="Calibri"/>
          <w:bCs/>
          <w:i/>
          <w:sz w:val="28"/>
          <w:shd w:val="clear" w:color="auto" w:fill="F4AA00"/>
          <w:lang w:eastAsia="fr-FR"/>
        </w:rPr>
        <w:t>Le pilotage des actions et des projets pédagogiques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Assurer le soutien et l’accompagnement du parcours scolaire de chacun des élèves et leur orientation positive.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S'assurer de l'adéquation entre les méthodes pédagogiques des MDP et les caractéristiques de la population scolaire et les spécificités de la matière/contenu.</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Evaluer la pertinence des méthodes pédagogiques employées au regard des résultats engrangés.</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Favoriser un leadership pédagogique partagé.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Assurer le pilotage pédagogique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Dans le cadre du leadership pédagogique partagé, contrôler l'avancement, suivre régulièrement la progression des résultats des missions déléguées et si nécessaire ajuster de manière adéquate et cohérente en fonction des objectifs à atteindre.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Dans le cadre du pilotage pédagogique de l’établissement, opérer les réajustements nécessaires  à partir d’évaluations menées sur base des indicateurs retenus.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Favoriser la collaboration de l’équipe éducative avec le Centre psycho-médicosocial.</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Développer des collaborations et des partenariats externes à l’école, notamment avec d’autres écoles.</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Coopérer avec les acteurs et les instances institués par la Communauté française et son pouvoir organisateur.</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Représenter le Pouvoir organisateur auprès des services du Gouvernement et du service général de l’Inspection.</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Inscrire l’action de son école dans le cadre de la politique collective de la zone.</w:t>
      </w:r>
    </w:p>
    <w:p>
      <w:pPr>
        <w:tabs>
          <w:tab w:val="left" w:pos="1985"/>
        </w:tabs>
        <w:spacing w:after="0" w:line="240" w:lineRule="auto"/>
        <w:ind w:left="-70"/>
        <w:jc w:val="both"/>
        <w:rPr>
          <w:rFonts w:ascii="Calibri" w:eastAsia="Times New Roman" w:hAnsi="Calibri" w:cs="Calibri"/>
          <w:bCs/>
          <w:lang w:eastAsia="fr-FR"/>
        </w:rPr>
      </w:pP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Responsabilités spécifiques pour l’EFACF de Malonne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eastAsia="Times New Roman" w:cs="Calibri"/>
          <w:u w:val="single"/>
          <w:lang w:eastAsia="fr-FR"/>
        </w:rPr>
      </w:pPr>
      <w:r>
        <w:rPr>
          <w:rFonts w:eastAsia="Times New Roman" w:cs="Calibri"/>
          <w:lang w:eastAsia="fr-FR"/>
        </w:rPr>
        <w:t xml:space="preserve">- </w:t>
      </w:r>
      <w:r>
        <w:t>L’école organise un cycle 5-8 et un co-titulariat en 5</w:t>
      </w:r>
      <w:r>
        <w:rPr>
          <w:vertAlign w:val="superscript"/>
        </w:rPr>
        <w:t>ème</w:t>
      </w:r>
      <w:r>
        <w:t xml:space="preserve"> et 6</w:t>
      </w:r>
      <w:r>
        <w:rPr>
          <w:vertAlign w:val="superscript"/>
        </w:rPr>
        <w:t>ème</w:t>
      </w:r>
      <w:r>
        <w:t xml:space="preserve"> primaire.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eastAsia="Times New Roman" w:cs="Calibri"/>
          <w:u w:val="single"/>
          <w:lang w:eastAsia="fr-FR"/>
        </w:rPr>
      </w:pPr>
      <w:r>
        <w:rPr>
          <w:rFonts w:eastAsia="Times New Roman" w:cs="Calibri"/>
          <w:lang w:eastAsia="fr-FR"/>
        </w:rPr>
        <w:t xml:space="preserve">- </w:t>
      </w:r>
      <w:r>
        <w:t xml:space="preserve">Le projet d’école doit être réactualisé en 2021 et peut être consulté sur le site de l’école.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eastAsia="Times New Roman" w:cs="Calibri"/>
          <w:u w:val="single"/>
          <w:lang w:eastAsia="fr-FR"/>
        </w:rPr>
      </w:pPr>
      <w:r>
        <w:rPr>
          <w:rFonts w:eastAsia="Times New Roman" w:cs="Calibri"/>
          <w:lang w:eastAsia="fr-FR"/>
        </w:rPr>
        <w:t xml:space="preserve">- </w:t>
      </w:r>
      <w:r>
        <w:t xml:space="preserve">L’école fait partie de la deuxième vague des plans de pilotage (2020-2026).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 </w:t>
      </w:r>
    </w:p>
    <w:p>
      <w:pPr>
        <w:shd w:val="clear" w:color="auto" w:fill="F4AA00"/>
        <w:tabs>
          <w:tab w:val="left" w:pos="1985"/>
        </w:tabs>
        <w:spacing w:after="0" w:line="240" w:lineRule="auto"/>
        <w:ind w:left="-70"/>
        <w:jc w:val="center"/>
        <w:rPr>
          <w:rFonts w:ascii="Calibri" w:eastAsia="Times New Roman" w:hAnsi="Calibri" w:cs="Calibri"/>
          <w:bCs/>
          <w:i/>
          <w:sz w:val="28"/>
          <w:shd w:val="clear" w:color="auto" w:fill="F4AA00"/>
          <w:lang w:eastAsia="fr-FR"/>
        </w:rPr>
      </w:pPr>
      <w:r>
        <w:rPr>
          <w:rFonts w:ascii="Calibri" w:eastAsia="Times New Roman" w:hAnsi="Calibri" w:cs="Calibri"/>
          <w:bCs/>
          <w:i/>
          <w:sz w:val="28"/>
          <w:shd w:val="clear" w:color="auto" w:fill="F4AA00"/>
          <w:lang w:eastAsia="fr-FR"/>
        </w:rPr>
        <w:t>La gestion des ressources et des relations humaines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Dans l’enseignement maternel et dans l’enseignement obligatoire, développer avec l’équipe éducative une dynamique collective et soutenir le travail collaboratif dans une visée de partage de pratiques et d’organisation apprenante.</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Collaborer avec le pouvoir organisateur pour construire, une équipe éducative et enseignante centrée sur l’élève, son développement et ses apprentissages.</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Soutenir le développement professionnel des membres du personnel.</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Accompagner les équipes éducatives dans les innovations qu’elles mettent en œuvre et le changement.</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Veiller à l’accueil et à l’intégration des nouveaux membres du personnel ainsi qu’à l’accompagnement des personnels en difficulté.</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Être le représentant du pouvoir organisateur auprès des Services du Gouvernement.</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Pouvoir nouer des contacts avec le monde économique et socioculturel local de même qu’avec des organismes de protection de la jeunesse, d’aide à l’enfance et d’aide à la jeunesse.</w:t>
      </w:r>
    </w:p>
    <w:tbl>
      <w:tblPr>
        <w:tblpPr w:leftFromText="141" w:rightFromText="141" w:vertAnchor="text" w:horzAnchor="margin" w:tblpY="-336"/>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ascii="Calibri" w:eastAsia="Times New Roman" w:hAnsi="Calibri"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Profil de compétence</w:t>
            </w:r>
          </w:p>
        </w:tc>
      </w:tr>
    </w:tbl>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Participer avec le Pouvoir organisateur aux procédures de recrutement des membres du personnel.</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Evaluer les membres du personnel et en rendre compte au Pouvoir organisateur.</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Dans le cadre du soutien au développement professionnel, individuel et collectif, des membres du personnel :</w:t>
      </w:r>
    </w:p>
    <w:p>
      <w:pPr>
        <w:tabs>
          <w:tab w:val="left" w:pos="1985"/>
        </w:tabs>
        <w:spacing w:after="0" w:line="240" w:lineRule="auto"/>
        <w:ind w:left="290"/>
        <w:contextualSpacing/>
        <w:jc w:val="both"/>
        <w:rPr>
          <w:rFonts w:ascii="Calibri" w:eastAsia="Times New Roman" w:hAnsi="Calibri" w:cs="Calibri"/>
          <w:bCs/>
          <w:lang w:eastAsia="fr-FR"/>
        </w:rPr>
      </w:pPr>
    </w:p>
    <w:p>
      <w:pPr>
        <w:numPr>
          <w:ilvl w:val="0"/>
          <w:numId w:val="40"/>
        </w:numPr>
        <w:tabs>
          <w:tab w:val="left" w:pos="1985"/>
        </w:tabs>
        <w:spacing w:after="0" w:line="240" w:lineRule="auto"/>
        <w:contextualSpacing/>
        <w:jc w:val="both"/>
        <w:rPr>
          <w:rFonts w:ascii="Calibri" w:eastAsia="Times New Roman" w:hAnsi="Calibri" w:cs="Calibri"/>
          <w:bCs/>
          <w:lang w:eastAsia="fr-FR"/>
        </w:rPr>
      </w:pPr>
      <w:r>
        <w:rPr>
          <w:rFonts w:ascii="Calibri" w:eastAsia="Times New Roman" w:hAnsi="Calibri" w:cs="Calibri"/>
          <w:bCs/>
          <w:lang w:eastAsia="fr-FR"/>
        </w:rPr>
        <w:t>construire avec eux un plan de formation collectif pour l’établissement ;</w:t>
      </w:r>
    </w:p>
    <w:p>
      <w:pPr>
        <w:numPr>
          <w:ilvl w:val="0"/>
          <w:numId w:val="40"/>
        </w:numPr>
        <w:tabs>
          <w:tab w:val="left" w:pos="1985"/>
        </w:tabs>
        <w:spacing w:after="0" w:line="240" w:lineRule="auto"/>
        <w:contextualSpacing/>
        <w:jc w:val="both"/>
        <w:rPr>
          <w:rFonts w:ascii="Calibri" w:eastAsia="Times New Roman" w:hAnsi="Calibri" w:cs="Calibri"/>
          <w:bCs/>
          <w:lang w:eastAsia="fr-FR"/>
        </w:rPr>
      </w:pPr>
      <w:r>
        <w:rPr>
          <w:rFonts w:ascii="Calibri" w:eastAsia="Times New Roman" w:hAnsi="Calibri" w:cs="Calibri"/>
          <w:bCs/>
          <w:lang w:eastAsia="fr-FR"/>
        </w:rPr>
        <w:t>les motiver et les accompagner (en particulier les enseignants débutants) ;</w:t>
      </w:r>
    </w:p>
    <w:p>
      <w:pPr>
        <w:numPr>
          <w:ilvl w:val="0"/>
          <w:numId w:val="40"/>
        </w:numPr>
        <w:tabs>
          <w:tab w:val="left" w:pos="1985"/>
        </w:tabs>
        <w:spacing w:after="0" w:line="240" w:lineRule="auto"/>
        <w:contextualSpacing/>
        <w:jc w:val="both"/>
        <w:rPr>
          <w:rFonts w:ascii="Calibri" w:eastAsia="Times New Roman" w:hAnsi="Calibri" w:cs="Calibri"/>
          <w:bCs/>
          <w:lang w:eastAsia="fr-FR"/>
        </w:rPr>
      </w:pPr>
      <w:r>
        <w:rPr>
          <w:rFonts w:ascii="Calibri" w:eastAsia="Times New Roman" w:hAnsi="Calibri" w:cs="Calibri"/>
          <w:bCs/>
          <w:lang w:eastAsia="fr-FR"/>
        </w:rPr>
        <w:t>mener avec eux des entretiens de fonctionnement ;</w:t>
      </w:r>
    </w:p>
    <w:p>
      <w:pPr>
        <w:numPr>
          <w:ilvl w:val="0"/>
          <w:numId w:val="40"/>
        </w:numPr>
        <w:tabs>
          <w:tab w:val="left" w:pos="1985"/>
        </w:tabs>
        <w:spacing w:after="0" w:line="240" w:lineRule="auto"/>
        <w:contextualSpacing/>
        <w:jc w:val="both"/>
        <w:rPr>
          <w:rFonts w:ascii="Calibri" w:eastAsia="Times New Roman" w:hAnsi="Calibri" w:cs="Calibri"/>
          <w:bCs/>
          <w:lang w:eastAsia="fr-FR"/>
        </w:rPr>
      </w:pPr>
      <w:r>
        <w:rPr>
          <w:rFonts w:ascii="Calibri" w:eastAsia="Times New Roman" w:hAnsi="Calibri" w:cs="Calibri"/>
          <w:bCs/>
          <w:lang w:eastAsia="fr-FR"/>
        </w:rPr>
        <w:t>les aider à clarifier le sens de leur action ;</w:t>
      </w:r>
    </w:p>
    <w:p>
      <w:pPr>
        <w:numPr>
          <w:ilvl w:val="0"/>
          <w:numId w:val="40"/>
        </w:numPr>
        <w:tabs>
          <w:tab w:val="left" w:pos="1985"/>
        </w:tabs>
        <w:spacing w:after="0" w:line="240" w:lineRule="auto"/>
        <w:contextualSpacing/>
        <w:jc w:val="both"/>
        <w:rPr>
          <w:rFonts w:ascii="Calibri" w:eastAsia="Times New Roman" w:hAnsi="Calibri" w:cs="Calibri"/>
          <w:bCs/>
          <w:lang w:eastAsia="fr-FR"/>
        </w:rPr>
      </w:pPr>
      <w:r>
        <w:rPr>
          <w:rFonts w:ascii="Calibri" w:eastAsia="Times New Roman" w:hAnsi="Calibri" w:cs="Calibri"/>
          <w:bCs/>
          <w:lang w:eastAsia="fr-FR"/>
        </w:rPr>
        <w:t>participer à l’identification de leurs besoins de formation et en leur facilitant l’accès à la formation en cours de carrière dans le cadre du plan de formation de l’école ;</w:t>
      </w:r>
    </w:p>
    <w:p>
      <w:pPr>
        <w:numPr>
          <w:ilvl w:val="0"/>
          <w:numId w:val="40"/>
        </w:numPr>
        <w:tabs>
          <w:tab w:val="left" w:pos="1985"/>
        </w:tabs>
        <w:spacing w:after="0" w:line="240" w:lineRule="auto"/>
        <w:contextualSpacing/>
        <w:jc w:val="both"/>
        <w:rPr>
          <w:rFonts w:ascii="Calibri" w:eastAsia="Times New Roman" w:hAnsi="Calibri" w:cs="Calibri"/>
          <w:bCs/>
          <w:lang w:eastAsia="fr-FR"/>
        </w:rPr>
      </w:pPr>
      <w:r>
        <w:rPr>
          <w:rFonts w:ascii="Calibri" w:eastAsia="Times New Roman" w:hAnsi="Calibri" w:cs="Calibri"/>
          <w:bCs/>
          <w:lang w:eastAsia="fr-FR"/>
        </w:rPr>
        <w:t xml:space="preserve">valoriser l’expertise des membres du personnel ; </w:t>
      </w:r>
    </w:p>
    <w:p>
      <w:pPr>
        <w:tabs>
          <w:tab w:val="left" w:pos="1985"/>
        </w:tabs>
        <w:spacing w:after="0" w:line="240" w:lineRule="auto"/>
        <w:ind w:left="290"/>
        <w:contextualSpacing/>
        <w:jc w:val="both"/>
        <w:rPr>
          <w:rFonts w:ascii="Calibri" w:eastAsia="Times New Roman" w:hAnsi="Calibri" w:cs="Calibri"/>
          <w:bCs/>
          <w:lang w:eastAsia="fr-FR"/>
        </w:rPr>
      </w:pPr>
    </w:p>
    <w:p>
      <w:pPr>
        <w:numPr>
          <w:ilvl w:val="0"/>
          <w:numId w:val="40"/>
        </w:numPr>
        <w:tabs>
          <w:tab w:val="left" w:pos="1985"/>
        </w:tabs>
        <w:spacing w:after="0" w:line="240" w:lineRule="auto"/>
        <w:contextualSpacing/>
        <w:jc w:val="both"/>
        <w:rPr>
          <w:rFonts w:ascii="Calibri" w:eastAsia="Times New Roman" w:hAnsi="Calibri" w:cs="Calibri"/>
          <w:bCs/>
          <w:lang w:eastAsia="fr-FR"/>
        </w:rPr>
      </w:pPr>
      <w:r>
        <w:rPr>
          <w:rFonts w:ascii="Calibri" w:eastAsia="Times New Roman" w:hAnsi="Calibri" w:cs="Calibri"/>
          <w:bCs/>
          <w:lang w:eastAsia="fr-FR"/>
        </w:rPr>
        <w:t>soutenir leurs actions tant à l’intérieur qu’à l’extérieur de l’école ;</w:t>
      </w:r>
    </w:p>
    <w:p>
      <w:pPr>
        <w:tabs>
          <w:tab w:val="left" w:pos="1985"/>
        </w:tabs>
        <w:spacing w:after="0" w:line="240" w:lineRule="auto"/>
        <w:ind w:left="-70"/>
        <w:contextualSpacing/>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Permettre aux membres du personnel l’expérimentation de nouvelles pratiques professionnelles, dans le respect du projet pédagogique du Pouvoir organisateur.</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Stimuler l’esprit d’équipe.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Constituer dans l’école une équipe de direction et l’animer.</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Mettre en place une dynamique collaborative favorisant le partage, la concertation, et la construction collective.</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Renforcer la démocratie scolaire en impliquant tous les acteurs de l’école et en promouvant le vivre ensemble.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Développer dans l’école les conditions d’un climat relationnel positif et du respect mutuel.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Assurer les relations de l’école avec les élèves, les parents et les tiers, et dans ce cadre, développer l’accueil et le dialogue.</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Veiller à une application juste et humaine aux élèves du règlement d’ordre intérieur et des éventuelles sanctions disciplinaires.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Prévenir et gérer les conflits, en faisant appel, le cas échéant, à des ressources externes.</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Veiller au respect du statut des membres du personnel et du règlement de travail.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shd w:val="clear" w:color="auto" w:fill="F4AA00"/>
          <w:lang w:eastAsia="fr-FR"/>
        </w:rPr>
      </w:pPr>
      <w:r>
        <w:rPr>
          <w:rFonts w:ascii="Calibri" w:eastAsia="Times New Roman" w:hAnsi="Calibri" w:cs="Calibri"/>
          <w:bCs/>
          <w:i/>
          <w:sz w:val="28"/>
          <w:shd w:val="clear" w:color="auto" w:fill="F4AA00"/>
          <w:lang w:eastAsia="fr-FR"/>
        </w:rPr>
        <w:t>La communication interne et externe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Recueillir, analyser, intégrer et faire circuler de l’information en la formulant de manière adaptée et au moyen des dispositifs adéquats à l’attention, respectivement, du Pouvoir organisateur, des membres du personnel, des élèves, des parents et des agents du Centre psycho-médicosocial et en tant qu’interface, avec les partenaires et interlocuteurs extérieurs.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Gérer la communication extérieure de l’établissement, en ce compris les relations avec les médias, dans la limite des délégations qui lui ont été données.</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Construire des dispositifs de communication entre les acteurs de l’école  et avec les partenaires de l’école.</w:t>
      </w:r>
    </w:p>
    <w:p>
      <w:pPr>
        <w:tabs>
          <w:tab w:val="left" w:pos="1985"/>
        </w:tabs>
        <w:spacing w:after="0" w:line="240" w:lineRule="auto"/>
        <w:ind w:left="-70"/>
        <w:jc w:val="both"/>
        <w:rPr>
          <w:rFonts w:ascii="Calibri" w:eastAsia="Times New Roman" w:hAnsi="Calibri" w:cs="Calibri"/>
          <w:bCs/>
          <w:lang w:eastAsia="fr-FR"/>
        </w:rPr>
      </w:pP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Responsabilités spécifiques pour l’EFACF de Malonne :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eastAsia="Times New Roman" w:cs="Calibri"/>
          <w:u w:val="single"/>
          <w:lang w:eastAsia="fr-FR"/>
        </w:rPr>
      </w:pPr>
      <w:r>
        <w:rPr>
          <w:rFonts w:eastAsia="Times New Roman" w:cs="Calibri"/>
          <w:lang w:eastAsia="fr-FR"/>
        </w:rPr>
        <w:t xml:space="preserve">- L’école est amenée à collaborer avec les SAJ/SPJ et avec les personnes référentes au sein des différentes institutions d’accueil lorsqu’elle accueille des enfants placés. </w:t>
      </w:r>
    </w:p>
    <w:tbl>
      <w:tblPr>
        <w:tblpPr w:leftFromText="141" w:rightFromText="141" w:vertAnchor="text" w:horzAnchor="margin" w:tblpY="-756"/>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ascii="Calibri" w:eastAsia="Times New Roman" w:hAnsi="Calibri"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Profil de compétence</w:t>
            </w:r>
          </w:p>
        </w:tc>
      </w:tr>
    </w:tbl>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eastAsia="Times New Roman" w:cs="Calibri"/>
          <w:lang w:eastAsia="fr-FR"/>
        </w:rPr>
      </w:pPr>
      <w:r>
        <w:rPr>
          <w:rFonts w:eastAsia="Times New Roman" w:cs="Calibri"/>
          <w:lang w:eastAsia="fr-FR"/>
        </w:rPr>
        <w:t>- Des conventions existent avec deux écoles d’enseignement spécialisé dans le cadre de l’intégration d’élèves dans l’enseignement ordinaire.</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eastAsia="Times New Roman" w:cs="Calibri"/>
          <w:u w:val="single"/>
          <w:lang w:eastAsia="fr-FR"/>
        </w:rPr>
      </w:pPr>
      <w:r>
        <w:rPr>
          <w:rFonts w:eastAsia="Times New Roman" w:cs="Calibri"/>
          <w:lang w:eastAsia="fr-FR"/>
        </w:rPr>
        <w:t>- L’école dispose d’un car mis à disposition par le SPW ; celui-ci est donc régulièrement sollicité (feuilles de route mensuelles, problèmes techniques, autorisations dans le cadre d’une sortie scolaire avec le car, …).</w:t>
      </w:r>
    </w:p>
    <w:p>
      <w:pPr>
        <w:pBdr>
          <w:top w:val="single" w:sz="4" w:space="1" w:color="auto"/>
          <w:left w:val="single" w:sz="4" w:space="4" w:color="auto"/>
          <w:bottom w:val="single" w:sz="4" w:space="1" w:color="auto"/>
          <w:right w:val="single" w:sz="4" w:space="4" w:color="auto"/>
        </w:pBdr>
        <w:tabs>
          <w:tab w:val="left" w:pos="1985"/>
        </w:tabs>
        <w:spacing w:after="0" w:line="240" w:lineRule="auto"/>
        <w:ind w:left="-70"/>
        <w:jc w:val="both"/>
        <w:rPr>
          <w:rFonts w:eastAsia="Times New Roman" w:cs="Calibri"/>
          <w:u w:val="single"/>
          <w:lang w:eastAsia="fr-FR"/>
        </w:rPr>
      </w:pPr>
      <w:r>
        <w:rPr>
          <w:rFonts w:eastAsia="Times New Roman" w:cs="Calibri"/>
          <w:lang w:eastAsia="fr-FR"/>
        </w:rPr>
        <w:t>- L’EFACF de Malonne a des contacts étroits avec l’ASBL « Les amis de l’école » qui prend en charge les garderies et organise des activités lucratives au bénéfice des élèves (intervention dans le cout des séjours, aide en cas de difficultés financières,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i/>
          <w:sz w:val="24"/>
          <w:shd w:val="clear" w:color="auto" w:fill="FBD4B4"/>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shd w:val="clear" w:color="auto" w:fill="FBD4B4"/>
          <w:lang w:eastAsia="fr-FR"/>
        </w:rPr>
      </w:pPr>
      <w:r>
        <w:rPr>
          <w:rFonts w:ascii="Calibri" w:eastAsia="Times New Roman" w:hAnsi="Calibri" w:cs="Calibri"/>
          <w:bCs/>
          <w:i/>
          <w:sz w:val="28"/>
          <w:shd w:val="clear" w:color="auto" w:fill="F4AA00"/>
          <w:lang w:eastAsia="fr-FR"/>
        </w:rPr>
        <w:t>La gestion administrative, financière et matérielle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Garantir le respect des dispositions légales et réglementaires.</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Assurer la gestion du budget pour lequel il a reçu délégation, en vue de parvenir à un fonctionnement optimal de l’école et à la réalisation de ses objectifs.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Objectiver les besoins de l’école en infrastructures et en équipement pédagogique, technique et informatique nécessaires à son fonctionnement ; En informer le pouvoir organisateur.</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Assurer la gestion et l’entretien des bâtiments, des infrastructures et des équipements scolaires, pour lesquels il a reçu délégation, y compris en matière de sécurité,  d'hygiène et de bien-être au travail.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shd w:val="clear" w:color="auto" w:fill="F4AA00"/>
          <w:lang w:eastAsia="fr-FR"/>
        </w:rPr>
      </w:pPr>
      <w:r>
        <w:rPr>
          <w:rFonts w:ascii="Calibri" w:eastAsia="Times New Roman" w:hAnsi="Calibri" w:cs="Calibri"/>
          <w:bCs/>
          <w:i/>
          <w:sz w:val="28"/>
          <w:shd w:val="clear" w:color="auto" w:fill="F4AA00"/>
          <w:lang w:eastAsia="fr-FR"/>
        </w:rPr>
        <w:t>La planification et la gestion active de son propre développement professionnel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S’enrichir continûment de nouvelles idées, compétences et connaissances.</w:t>
      </w:r>
    </w:p>
    <w:p>
      <w:pPr>
        <w:tabs>
          <w:tab w:val="left" w:pos="1985"/>
        </w:tabs>
        <w:spacing w:after="0" w:line="240" w:lineRule="auto"/>
        <w:ind w:left="-70"/>
        <w:jc w:val="both"/>
        <w:rPr>
          <w:rFonts w:ascii="Calibri" w:eastAsia="Times New Roman" w:hAnsi="Calibri" w:cs="Calibri"/>
          <w:lang w:eastAsia="fr-FR"/>
        </w:rPr>
      </w:pPr>
      <w:r>
        <w:rPr>
          <w:rFonts w:ascii="Calibri" w:eastAsia="Times New Roman" w:hAnsi="Calibri" w:cs="Calibri"/>
          <w:lang w:eastAsia="fr-FR"/>
        </w:rPr>
        <w:t xml:space="preserve">Avoir des entretiens de fonctionnement réguliers avec le pouvoir organisateur ou les délégués de celui-ci, en référence à sa lettre de mission et à son auto-évaluation. </w:t>
      </w:r>
    </w:p>
    <w:p>
      <w:pPr>
        <w:tabs>
          <w:tab w:val="left" w:pos="1985"/>
        </w:tabs>
        <w:spacing w:after="0" w:line="240" w:lineRule="auto"/>
        <w:ind w:left="-70"/>
        <w:jc w:val="both"/>
        <w:rPr>
          <w:rFonts w:ascii="Calibri" w:eastAsia="Times New Roman" w:hAnsi="Calibri" w:cs="Calibri"/>
          <w:lang w:eastAsia="fr-FR"/>
        </w:rPr>
      </w:pPr>
      <w:r>
        <w:rPr>
          <w:rFonts w:ascii="Calibri" w:eastAsia="Times New Roman" w:hAnsi="Calibri" w:cs="Calibri"/>
          <w:lang w:eastAsia="fr-FR"/>
        </w:rPr>
        <w:t>S’inscrire dans une démarche de formation continuée.</w:t>
      </w:r>
    </w:p>
    <w:p>
      <w:pPr>
        <w:tabs>
          <w:tab w:val="left" w:pos="1985"/>
        </w:tabs>
        <w:spacing w:after="0" w:line="240" w:lineRule="auto"/>
        <w:ind w:left="-70"/>
        <w:jc w:val="both"/>
        <w:rPr>
          <w:rFonts w:ascii="Calibri" w:eastAsia="Times New Roman" w:hAnsi="Calibri" w:cs="Calibri"/>
          <w:lang w:eastAsia="fr-FR"/>
        </w:rPr>
      </w:pPr>
      <w:r>
        <w:rPr>
          <w:rFonts w:ascii="Calibri" w:eastAsia="Times New Roman" w:hAnsi="Calibri" w:cs="Calibri"/>
          <w:lang w:eastAsia="fr-FR"/>
        </w:rPr>
        <w:t>Autoévaluer régulièrement son fonctionnement professionnel et en tirer de nouvelles lignes d’action ou de comportement.</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center"/>
        <w:rPr>
          <w:rFonts w:ascii="Calibri" w:eastAsia="Times New Roman" w:hAnsi="Calibri" w:cs="Times New Roman"/>
          <w:lang w:eastAsia="fr-FR"/>
        </w:rPr>
      </w:pPr>
      <w:r>
        <w:rPr>
          <w:rFonts w:ascii="Calibri" w:eastAsia="Times New Roman" w:hAnsi="Calibri" w:cs="Times New Roman"/>
          <w:szCs w:val="24"/>
          <w:lang w:eastAsia="fr-FR"/>
        </w:rPr>
        <w:t>Cette liste des tâches n’est pas exhaustive.</w:t>
      </w:r>
    </w:p>
    <w:p>
      <w:pPr>
        <w:spacing w:after="0" w:line="240" w:lineRule="auto"/>
        <w:rPr>
          <w:rFonts w:ascii="Calibri" w:eastAsia="Times New Roman" w:hAnsi="Calibri" w:cs="Times New Roman"/>
          <w:lang w:eastAsia="fr-FR"/>
        </w:rPr>
        <w:sectPr>
          <w:headerReference w:type="default" r:id="rId19"/>
          <w:headerReference w:type="first" r:id="rId20"/>
          <w:pgSz w:w="11906" w:h="16838"/>
          <w:pgMar w:top="1417" w:right="1417" w:bottom="1417" w:left="1417" w:header="708" w:footer="303" w:gutter="0"/>
          <w:cols w:space="708"/>
          <w:docGrid w:linePitch="360"/>
        </w:sectPr>
      </w:pPr>
    </w:p>
    <w:tbl>
      <w:tblPr>
        <w:tblpPr w:leftFromText="141" w:rightFromText="141" w:vertAnchor="text" w:horzAnchor="margin" w:tblpXSpec="center" w:tblpY="-384"/>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ascii="Calibri" w:eastAsia="Times New Roman" w:hAnsi="Calibri"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color w:val="FFFFFF"/>
                <w:sz w:val="20"/>
                <w:szCs w:val="20"/>
                <w:lang w:eastAsia="fr-FR"/>
              </w:rPr>
              <w:t>Profil de compétence</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17"/>
        <w:gridCol w:w="468"/>
        <w:gridCol w:w="37"/>
        <w:gridCol w:w="37"/>
        <w:gridCol w:w="25"/>
        <w:gridCol w:w="13"/>
        <w:gridCol w:w="979"/>
      </w:tblGrid>
      <w:tr>
        <w:trPr>
          <w:trHeight w:val="586"/>
        </w:trPr>
        <w:tc>
          <w:tcPr>
            <w:tcW w:w="9776" w:type="dxa"/>
            <w:gridSpan w:val="7"/>
            <w:tcBorders>
              <w:top w:val="single" w:sz="4" w:space="0" w:color="auto"/>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sz w:val="24"/>
                <w:szCs w:val="20"/>
                <w:lang w:eastAsia="fr-FR"/>
              </w:rPr>
              <w:t>Compétences Techniques</w:t>
            </w:r>
          </w:p>
        </w:tc>
      </w:tr>
      <w:tr>
        <w:trPr>
          <w:trHeight w:val="531"/>
        </w:trPr>
        <w:tc>
          <w:tcPr>
            <w:tcW w:w="8217" w:type="dxa"/>
            <w:vMerge w:val="restart"/>
            <w:tcBorders>
              <w:top w:val="single" w:sz="4" w:space="0" w:color="auto"/>
              <w:left w:val="single" w:sz="4" w:space="0" w:color="auto"/>
              <w:right w:val="single" w:sz="4" w:space="0" w:color="auto"/>
            </w:tcBorders>
            <w:shd w:val="clear" w:color="auto" w:fill="FFFFFF"/>
          </w:tcPr>
          <w:p>
            <w:pPr>
              <w:tabs>
                <w:tab w:val="left" w:pos="1985"/>
              </w:tabs>
              <w:spacing w:after="0" w:line="240" w:lineRule="auto"/>
              <w:rPr>
                <w:rFonts w:ascii="Calibri" w:eastAsia="Times New Roman" w:hAnsi="Calibri" w:cs="Times New Roman"/>
                <w:b/>
                <w:color w:val="000000"/>
                <w:lang w:eastAsia="fr-FR"/>
              </w:rPr>
            </w:pPr>
            <w:r>
              <w:rPr>
                <w:rFonts w:ascii="Calibri" w:eastAsia="Times New Roman" w:hAnsi="Calibri" w:cs="Times New Roman"/>
                <w:b/>
                <w:color w:val="000000"/>
                <w:lang w:eastAsia="fr-FR"/>
              </w:rPr>
              <w:t xml:space="preserve">Niveaux de maitrise </w:t>
            </w:r>
          </w:p>
          <w:p>
            <w:pPr>
              <w:numPr>
                <w:ilvl w:val="0"/>
                <w:numId w:val="38"/>
              </w:numPr>
              <w:tabs>
                <w:tab w:val="left" w:pos="1985"/>
              </w:tabs>
              <w:spacing w:after="0" w:line="240" w:lineRule="auto"/>
              <w:contextualSpacing/>
              <w:rPr>
                <w:rFonts w:ascii="Calibri" w:eastAsia="Times New Roman" w:hAnsi="Calibri" w:cs="Times New Roman"/>
                <w:b/>
                <w:color w:val="000000"/>
                <w:lang w:eastAsia="fr-FR"/>
              </w:rPr>
            </w:pPr>
            <w:r>
              <w:rPr>
                <w:rFonts w:ascii="Calibri" w:eastAsia="Times New Roman" w:hAnsi="Calibri" w:cs="Times New Roman"/>
                <w:b/>
                <w:color w:val="000000"/>
                <w:lang w:eastAsia="fr-FR"/>
              </w:rPr>
              <w:t>Aptitude à acquérir la compétence -&gt; avoir des notions théoriques</w:t>
            </w:r>
          </w:p>
          <w:p>
            <w:pPr>
              <w:numPr>
                <w:ilvl w:val="0"/>
                <w:numId w:val="38"/>
              </w:numPr>
              <w:tabs>
                <w:tab w:val="left" w:pos="1985"/>
              </w:tabs>
              <w:spacing w:after="0" w:line="240" w:lineRule="auto"/>
              <w:contextualSpacing/>
              <w:rPr>
                <w:rFonts w:ascii="Calibri" w:eastAsia="Times New Roman" w:hAnsi="Calibri" w:cs="Times New Roman"/>
                <w:b/>
                <w:color w:val="000000"/>
                <w:lang w:eastAsia="fr-FR"/>
              </w:rPr>
            </w:pPr>
            <w:r>
              <w:rPr>
                <w:rFonts w:ascii="Calibri" w:eastAsia="Times New Roman" w:hAnsi="Calibri" w:cs="Times New Roman"/>
                <w:b/>
                <w:color w:val="000000"/>
                <w:lang w:eastAsia="fr-FR"/>
              </w:rPr>
              <w:t>Élémentaire -&gt; agir de façon réactive</w:t>
            </w:r>
          </w:p>
          <w:p>
            <w:pPr>
              <w:numPr>
                <w:ilvl w:val="0"/>
                <w:numId w:val="38"/>
              </w:numPr>
              <w:tabs>
                <w:tab w:val="left" w:pos="1985"/>
              </w:tabs>
              <w:spacing w:after="0" w:line="240" w:lineRule="auto"/>
              <w:contextualSpacing/>
              <w:rPr>
                <w:rFonts w:ascii="Calibri" w:eastAsia="Times New Roman" w:hAnsi="Calibri" w:cs="Times New Roman"/>
                <w:b/>
                <w:color w:val="000000"/>
                <w:lang w:eastAsia="fr-FR"/>
              </w:rPr>
            </w:pPr>
            <w:r>
              <w:rPr>
                <w:rFonts w:ascii="Calibri" w:eastAsia="Times New Roman" w:hAnsi="Calibri" w:cs="Times New Roman"/>
                <w:b/>
                <w:color w:val="000000"/>
                <w:lang w:eastAsia="fr-FR"/>
              </w:rPr>
              <w:t>Intermédiaire -&gt; agir de façon autonome</w:t>
            </w:r>
          </w:p>
          <w:p>
            <w:pPr>
              <w:numPr>
                <w:ilvl w:val="0"/>
                <w:numId w:val="38"/>
              </w:numPr>
              <w:tabs>
                <w:tab w:val="left" w:pos="1985"/>
              </w:tabs>
              <w:spacing w:after="0" w:line="240" w:lineRule="auto"/>
              <w:contextualSpacing/>
              <w:rPr>
                <w:rFonts w:ascii="Calibri" w:eastAsia="Times New Roman" w:hAnsi="Calibri" w:cs="Times New Roman"/>
                <w:b/>
                <w:color w:val="0070C0"/>
                <w:lang w:eastAsia="fr-FR"/>
              </w:rPr>
            </w:pPr>
            <w:r>
              <w:rPr>
                <w:rFonts w:ascii="Calibri" w:eastAsia="Times New Roman" w:hAnsi="Calibri" w:cs="Times New Roman"/>
                <w:b/>
                <w:color w:val="000000"/>
                <w:lang w:eastAsia="fr-FR"/>
              </w:rPr>
              <w:t>Avancé -&gt; agir avec excellence</w:t>
            </w:r>
            <w:r>
              <w:rPr>
                <w:rFonts w:ascii="Calibri" w:eastAsia="Times New Roman" w:hAnsi="Calibri" w:cs="Times New Roman"/>
                <w:b/>
                <w:color w:val="000000"/>
                <w:lang w:eastAsia="fr-FR"/>
              </w:rPr>
              <w:br/>
            </w:r>
          </w:p>
        </w:tc>
        <w:tc>
          <w:tcPr>
            <w:tcW w:w="1559" w:type="dxa"/>
            <w:gridSpan w:val="6"/>
            <w:tcBorders>
              <w:top w:val="single" w:sz="4" w:space="0" w:color="auto"/>
              <w:left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Niveau  </w:t>
            </w:r>
          </w:p>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attendu en:</w:t>
            </w:r>
          </w:p>
        </w:tc>
      </w:tr>
      <w:tr>
        <w:trPr>
          <w:trHeight w:val="846"/>
        </w:trPr>
        <w:tc>
          <w:tcPr>
            <w:tcW w:w="8217" w:type="dxa"/>
            <w:vMerge/>
            <w:tcBorders>
              <w:left w:val="single" w:sz="4" w:space="0" w:color="auto"/>
              <w:right w:val="single" w:sz="4" w:space="0" w:color="auto"/>
            </w:tcBorders>
            <w:shd w:val="clear" w:color="auto" w:fill="FFFFFF"/>
          </w:tcPr>
          <w:p>
            <w:pPr>
              <w:tabs>
                <w:tab w:val="left" w:pos="1985"/>
              </w:tabs>
              <w:spacing w:after="0" w:line="240" w:lineRule="auto"/>
              <w:rPr>
                <w:rFonts w:ascii="Calibri" w:eastAsia="Times New Roman" w:hAnsi="Calibri" w:cs="Times New Roman"/>
                <w:b/>
                <w:color w:val="000000"/>
                <w:lang w:eastAsia="fr-FR"/>
              </w:rPr>
            </w:pPr>
          </w:p>
        </w:tc>
        <w:tc>
          <w:tcPr>
            <w:tcW w:w="567" w:type="dxa"/>
            <w:gridSpan w:val="4"/>
            <w:tcBorders>
              <w:top w:val="single" w:sz="4" w:space="0" w:color="auto"/>
              <w:left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Jury</w:t>
            </w:r>
          </w:p>
        </w:tc>
        <w:tc>
          <w:tcPr>
            <w:tcW w:w="992" w:type="dxa"/>
            <w:gridSpan w:val="2"/>
            <w:tcBorders>
              <w:top w:val="single" w:sz="4" w:space="0" w:color="auto"/>
              <w:left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Fonction</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Times New Roman" w:eastAsia="Times New Roman" w:hAnsi="Times New Roman" w:cs="Times New Roman"/>
                <w:sz w:val="24"/>
                <w:szCs w:val="24"/>
                <w:lang w:eastAsia="fr-FR"/>
              </w:rPr>
            </w:pPr>
            <w:r>
              <w:rPr>
                <w:rFonts w:ascii="Calibri" w:eastAsia="Times New Roman" w:hAnsi="Calibri" w:cs="Times New Roman"/>
                <w:b/>
                <w:lang w:eastAsia="fr-FR"/>
              </w:rPr>
              <w:t>Réglementation</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Times New Roman"/>
                <w:lang w:eastAsia="fr-FR"/>
              </w:rPr>
            </w:pPr>
            <w:r>
              <w:rPr>
                <w:rFonts w:ascii="Calibri" w:eastAsia="Times New Roman" w:hAnsi="Calibri" w:cs="Times New Roman"/>
                <w:lang w:eastAsia="fr-FR"/>
              </w:rPr>
              <w:t xml:space="preserve">Avoir la capacité de lire et comprendre un texte juridique. </w:t>
            </w:r>
          </w:p>
        </w:tc>
        <w:tc>
          <w:tcPr>
            <w:tcW w:w="58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B </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Pédagogique</w:t>
            </w:r>
          </w:p>
        </w:tc>
      </w:tr>
      <w:tr>
        <w:trPr>
          <w:trHeight w:val="397"/>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Times New Roman"/>
                <w:lang w:eastAsia="fr-FR"/>
              </w:rPr>
            </w:pPr>
            <w:r>
              <w:rPr>
                <w:rFonts w:ascii="Calibri" w:eastAsia="Times New Roman" w:hAnsi="Calibri" w:cs="Times New Roman"/>
                <w:lang w:eastAsia="fr-FR"/>
              </w:rPr>
              <w:t>Disposer de compétences pédagogiques et montrer un intérêt pour la recherche en éducation adaptée au niveau d’enseignement concerné.</w:t>
            </w:r>
          </w:p>
        </w:tc>
        <w:tc>
          <w:tcPr>
            <w:tcW w:w="54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101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Numérique</w:t>
            </w:r>
          </w:p>
        </w:tc>
      </w:tr>
      <w:tr>
        <w:trPr>
          <w:trHeight w:val="787"/>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p>
        </w:tc>
        <w:tc>
          <w:tcPr>
            <w:tcW w:w="542" w:type="dxa"/>
            <w:gridSpan w:val="3"/>
            <w:tcBorders>
              <w:left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B </w:t>
            </w:r>
          </w:p>
        </w:tc>
        <w:tc>
          <w:tcPr>
            <w:tcW w:w="1017" w:type="dxa"/>
            <w:gridSpan w:val="3"/>
            <w:tcBorders>
              <w:left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b/>
                <w:lang w:eastAsia="fr-FR"/>
              </w:rPr>
              <w:t xml:space="preserve">Méthodologie </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Etre capable de gérer des réunions.</w:t>
            </w:r>
          </w:p>
        </w:tc>
        <w:tc>
          <w:tcPr>
            <w:tcW w:w="5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10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Etre capable de gérer des conflits.</w:t>
            </w:r>
          </w:p>
        </w:tc>
        <w:tc>
          <w:tcPr>
            <w:tcW w:w="5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10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Métier</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Avoir des compétences en gestion administrative, financière et matérielle de l’établissement.</w:t>
            </w:r>
          </w:p>
        </w:tc>
        <w:tc>
          <w:tcPr>
            <w:tcW w:w="5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Avoir des compétences de gestion de l’infrastructure de l'école.</w:t>
            </w:r>
          </w:p>
        </w:tc>
        <w:tc>
          <w:tcPr>
            <w:tcW w:w="5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B </w:t>
            </w:r>
          </w:p>
        </w:tc>
        <w:tc>
          <w:tcPr>
            <w:tcW w:w="10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Times New Roman" w:eastAsia="Times New Roman" w:hAnsi="Times New Roman" w:cs="Times New Roman"/>
                <w:sz w:val="24"/>
                <w:szCs w:val="24"/>
                <w:lang w:eastAsia="fr-FR"/>
              </w:rPr>
            </w:pPr>
            <w:r>
              <w:rPr>
                <w:rFonts w:ascii="Calibri" w:eastAsia="Times New Roman" w:hAnsi="Calibri" w:cs="Calibri"/>
                <w:color w:val="000000"/>
                <w:lang w:eastAsia="fr-FR"/>
              </w:rPr>
              <w:t xml:space="preserve">Avoir des compétences de gestion de ressources financières. </w:t>
            </w:r>
          </w:p>
        </w:tc>
        <w:tc>
          <w:tcPr>
            <w:tcW w:w="5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B </w:t>
            </w:r>
          </w:p>
        </w:tc>
        <w:tc>
          <w:tcPr>
            <w:tcW w:w="10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 xml:space="preserve">Avoir des compétences en gestion des ressources humaines. </w:t>
            </w:r>
          </w:p>
        </w:tc>
        <w:tc>
          <w:tcPr>
            <w:tcW w:w="5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B</w:t>
            </w:r>
          </w:p>
        </w:tc>
        <w:tc>
          <w:tcPr>
            <w:tcW w:w="10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Communication</w:t>
            </w:r>
          </w:p>
        </w:tc>
      </w:tr>
      <w:tr>
        <w:trPr>
          <w:trHeight w:val="397"/>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Times New Roman" w:eastAsia="Times New Roman" w:hAnsi="Times New Roman" w:cs="Times New Roman"/>
                <w:sz w:val="24"/>
                <w:szCs w:val="24"/>
                <w:lang w:eastAsia="fr-FR"/>
              </w:rPr>
            </w:pPr>
            <w:r>
              <w:rPr>
                <w:rFonts w:ascii="Calibri" w:eastAsia="Times New Roman" w:hAnsi="Calibri" w:cs="Calibri"/>
                <w:lang w:eastAsia="fr-FR"/>
              </w:rPr>
              <w:t xml:space="preserve">Maîtriser les techniques de la communication écrite. </w:t>
            </w: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9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97"/>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lang w:eastAsia="fr-BE"/>
              </w:rPr>
            </w:pPr>
            <w:r>
              <w:rPr>
                <w:rFonts w:ascii="Calibri" w:eastAsia="Times New Roman" w:hAnsi="Calibri" w:cs="Calibri"/>
                <w:lang w:eastAsia="fr-FR"/>
              </w:rPr>
              <w:t xml:space="preserve">Maîtriser les techniques de la communication orale. </w:t>
            </w: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109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sectPr>
          <w:pgSz w:w="11906" w:h="16838"/>
          <w:pgMar w:top="720" w:right="720" w:bottom="720" w:left="720" w:header="708" w:footer="664" w:gutter="0"/>
          <w:cols w:space="708"/>
          <w:docGrid w:linePitch="360"/>
        </w:sectPr>
      </w:pPr>
    </w:p>
    <w:tbl>
      <w:tblPr>
        <w:tblpPr w:leftFromText="141" w:rightFromText="141" w:vertAnchor="text" w:horzAnchor="margin" w:tblpY="-836"/>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ascii="Calibri" w:eastAsia="Times New Roman" w:hAnsi="Calibri"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color w:val="FFFFFF"/>
                <w:sz w:val="20"/>
                <w:szCs w:val="20"/>
                <w:lang w:eastAsia="fr-FR"/>
              </w:rPr>
              <w:t>Profil de compétence</w:t>
            </w:r>
          </w:p>
        </w:tc>
      </w:tr>
    </w:tbl>
    <w:tbl>
      <w:tblPr>
        <w:tblpPr w:leftFromText="141" w:rightFromText="141" w:horzAnchor="margin" w:tblpXSpec="center" w:tblpY="337"/>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59"/>
        <w:gridCol w:w="617"/>
        <w:gridCol w:w="38"/>
        <w:gridCol w:w="37"/>
        <w:gridCol w:w="18"/>
        <w:gridCol w:w="974"/>
        <w:gridCol w:w="6"/>
      </w:tblGrid>
      <w:tr>
        <w:trPr>
          <w:gridAfter w:val="1"/>
          <w:wAfter w:w="6" w:type="dxa"/>
          <w:cantSplit/>
          <w:trHeight w:val="564"/>
        </w:trPr>
        <w:tc>
          <w:tcPr>
            <w:tcW w:w="10343" w:type="dxa"/>
            <w:gridSpan w:val="6"/>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Times New Roman"/>
                <w:b/>
                <w:color w:val="1F497D"/>
                <w:lang w:eastAsia="fr-FR"/>
              </w:rPr>
            </w:pPr>
            <w:r>
              <w:rPr>
                <w:rFonts w:ascii="Calibri" w:eastAsia="Times New Roman" w:hAnsi="Calibri" w:cs="Times New Roman"/>
                <w:b/>
                <w:sz w:val="24"/>
                <w:lang w:eastAsia="fr-FR"/>
              </w:rPr>
              <w:t>Compétences Comportementales</w:t>
            </w:r>
          </w:p>
        </w:tc>
      </w:tr>
      <w:tr>
        <w:trPr>
          <w:cantSplit/>
          <w:trHeight w:val="546"/>
        </w:trPr>
        <w:tc>
          <w:tcPr>
            <w:tcW w:w="8659" w:type="dxa"/>
            <w:vMerge w:val="restart"/>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r>
              <w:rPr>
                <w:rFonts w:ascii="Calibri" w:eastAsia="Times New Roman" w:hAnsi="Calibri" w:cs="Times New Roman"/>
                <w:b/>
                <w:color w:val="000000"/>
                <w:lang w:eastAsia="fr-FR"/>
              </w:rPr>
              <w:t>Niveaux de maitrise</w:t>
            </w:r>
          </w:p>
          <w:p>
            <w:pPr>
              <w:numPr>
                <w:ilvl w:val="0"/>
                <w:numId w:val="41"/>
              </w:numPr>
              <w:tabs>
                <w:tab w:val="left" w:pos="1985"/>
              </w:tabs>
              <w:spacing w:after="0" w:line="240" w:lineRule="auto"/>
              <w:contextualSpacing/>
              <w:rPr>
                <w:rFonts w:ascii="Calibri" w:eastAsia="Times New Roman" w:hAnsi="Calibri" w:cs="Times New Roman"/>
                <w:b/>
                <w:color w:val="000000"/>
                <w:lang w:eastAsia="fr-FR"/>
              </w:rPr>
            </w:pPr>
            <w:r>
              <w:rPr>
                <w:rFonts w:ascii="Calibri" w:eastAsia="Times New Roman" w:hAnsi="Calibri" w:cs="Times New Roman"/>
                <w:b/>
                <w:color w:val="000000"/>
                <w:lang w:eastAsia="fr-FR"/>
              </w:rPr>
              <w:t>Aptitude à acquérir la compétence -&gt; avoir des notions théoriques</w:t>
            </w:r>
          </w:p>
          <w:p>
            <w:pPr>
              <w:numPr>
                <w:ilvl w:val="0"/>
                <w:numId w:val="41"/>
              </w:numPr>
              <w:tabs>
                <w:tab w:val="left" w:pos="1985"/>
              </w:tabs>
              <w:spacing w:after="0" w:line="240" w:lineRule="auto"/>
              <w:contextualSpacing/>
              <w:rPr>
                <w:rFonts w:ascii="Calibri" w:eastAsia="Times New Roman" w:hAnsi="Calibri" w:cs="Times New Roman"/>
                <w:b/>
                <w:color w:val="000000"/>
                <w:lang w:eastAsia="fr-FR"/>
              </w:rPr>
            </w:pPr>
            <w:r>
              <w:rPr>
                <w:rFonts w:ascii="Calibri" w:eastAsia="Times New Roman" w:hAnsi="Calibri" w:cs="Times New Roman"/>
                <w:b/>
                <w:color w:val="000000"/>
                <w:lang w:eastAsia="fr-FR"/>
              </w:rPr>
              <w:t>Élémentaire -&gt; agir de façon réactive, avec accompagnement</w:t>
            </w:r>
          </w:p>
          <w:p>
            <w:pPr>
              <w:numPr>
                <w:ilvl w:val="0"/>
                <w:numId w:val="41"/>
              </w:numPr>
              <w:tabs>
                <w:tab w:val="left" w:pos="1985"/>
              </w:tabs>
              <w:spacing w:after="0" w:line="240" w:lineRule="auto"/>
              <w:contextualSpacing/>
              <w:rPr>
                <w:rFonts w:ascii="Calibri" w:eastAsia="Times New Roman" w:hAnsi="Calibri" w:cs="Times New Roman"/>
                <w:b/>
                <w:color w:val="000000"/>
                <w:lang w:eastAsia="fr-FR"/>
              </w:rPr>
            </w:pPr>
            <w:r>
              <w:rPr>
                <w:rFonts w:ascii="Calibri" w:eastAsia="Times New Roman" w:hAnsi="Calibri" w:cs="Times New Roman"/>
                <w:b/>
                <w:color w:val="000000"/>
                <w:lang w:eastAsia="fr-FR"/>
              </w:rPr>
              <w:t>Intermédiaire -&gt; agir de façon proactive, autonome</w:t>
            </w:r>
          </w:p>
          <w:p>
            <w:pPr>
              <w:numPr>
                <w:ilvl w:val="0"/>
                <w:numId w:val="41"/>
              </w:numPr>
              <w:tabs>
                <w:tab w:val="left" w:pos="1985"/>
              </w:tabs>
              <w:spacing w:after="0" w:line="240" w:lineRule="auto"/>
              <w:contextualSpacing/>
              <w:rPr>
                <w:rFonts w:ascii="Calibri" w:eastAsia="Times New Roman" w:hAnsi="Calibri" w:cs="Times New Roman"/>
                <w:b/>
                <w:color w:val="1F497D"/>
                <w:lang w:eastAsia="fr-FR"/>
              </w:rPr>
            </w:pPr>
            <w:r>
              <w:rPr>
                <w:rFonts w:ascii="Calibri" w:eastAsia="Times New Roman" w:hAnsi="Calibri" w:cs="Times New Roman"/>
                <w:b/>
                <w:color w:val="000000"/>
                <w:lang w:eastAsia="fr-FR"/>
              </w:rPr>
              <w:t>Avancé -&gt; agir avec excellence, faire preuve d’anticipation</w:t>
            </w:r>
          </w:p>
          <w:p>
            <w:pPr>
              <w:tabs>
                <w:tab w:val="left" w:pos="1985"/>
              </w:tabs>
              <w:spacing w:after="0" w:line="240" w:lineRule="auto"/>
              <w:ind w:left="785"/>
              <w:contextualSpacing/>
              <w:rPr>
                <w:rFonts w:ascii="Calibri" w:eastAsia="Times New Roman" w:hAnsi="Calibri" w:cs="Times New Roman"/>
                <w:b/>
                <w:color w:val="1F497D"/>
                <w:lang w:eastAsia="fr-FR"/>
              </w:rPr>
            </w:pPr>
          </w:p>
        </w:tc>
        <w:tc>
          <w:tcPr>
            <w:tcW w:w="1690" w:type="dxa"/>
            <w:gridSpan w:val="6"/>
            <w:tcBorders>
              <w:left w:val="single" w:sz="4" w:space="0" w:color="auto"/>
            </w:tcBorders>
            <w:shd w:val="clear" w:color="auto" w:fill="FFFFFF"/>
            <w:vAlign w:val="center"/>
          </w:tcPr>
          <w:p>
            <w:pPr>
              <w:spacing w:after="0" w:line="240" w:lineRule="auto"/>
              <w:jc w:val="center"/>
              <w:rPr>
                <w:rFonts w:ascii="Times New Roman" w:eastAsia="Times New Roman" w:hAnsi="Times New Roman" w:cs="Times New Roman"/>
                <w:sz w:val="24"/>
                <w:szCs w:val="24"/>
                <w:lang w:val="fr-FR" w:eastAsia="fr-FR"/>
              </w:rPr>
            </w:pPr>
            <w:r>
              <w:rPr>
                <w:rFonts w:ascii="Calibri" w:eastAsia="Times New Roman" w:hAnsi="Calibri" w:cs="Calibri"/>
                <w:lang w:eastAsia="fr-FR"/>
              </w:rPr>
              <w:t xml:space="preserve">Niveau attendu en : </w:t>
            </w:r>
          </w:p>
        </w:tc>
      </w:tr>
      <w:tr>
        <w:trPr>
          <w:cantSplit/>
          <w:trHeight w:val="1056"/>
        </w:trPr>
        <w:tc>
          <w:tcPr>
            <w:tcW w:w="8659" w:type="dxa"/>
            <w:vMerge/>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p>
        </w:tc>
        <w:tc>
          <w:tcPr>
            <w:tcW w:w="710" w:type="dxa"/>
            <w:gridSpan w:val="4"/>
            <w:tcBorders>
              <w:left w:val="single" w:sz="4" w:space="0" w:color="auto"/>
              <w:right w:val="single" w:sz="4" w:space="0" w:color="auto"/>
            </w:tcBorders>
            <w:shd w:val="clear" w:color="auto" w:fill="FFFFFF"/>
            <w:vAlign w:val="center"/>
          </w:tcPr>
          <w:p>
            <w:pPr>
              <w:spacing w:after="0" w:line="240" w:lineRule="auto"/>
              <w:jc w:val="center"/>
              <w:rPr>
                <w:rFonts w:ascii="Calibri" w:eastAsia="Times New Roman" w:hAnsi="Calibri" w:cs="Calibri"/>
                <w:lang w:eastAsia="fr-FR"/>
              </w:rPr>
            </w:pPr>
            <w:r>
              <w:rPr>
                <w:rFonts w:ascii="Calibri" w:eastAsia="Times New Roman" w:hAnsi="Calibri" w:cs="Calibri"/>
                <w:lang w:eastAsia="fr-FR"/>
              </w:rPr>
              <w:t>Jury</w:t>
            </w:r>
          </w:p>
        </w:tc>
        <w:tc>
          <w:tcPr>
            <w:tcW w:w="980" w:type="dxa"/>
            <w:gridSpan w:val="2"/>
            <w:tcBorders>
              <w:left w:val="single" w:sz="4" w:space="0" w:color="auto"/>
              <w:right w:val="single" w:sz="4" w:space="0" w:color="auto"/>
            </w:tcBorders>
            <w:shd w:val="clear" w:color="auto" w:fill="FFFFFF"/>
            <w:vAlign w:val="center"/>
          </w:tcPr>
          <w:p>
            <w:pPr>
              <w:spacing w:after="0" w:line="240" w:lineRule="auto"/>
              <w:jc w:val="center"/>
              <w:rPr>
                <w:rFonts w:ascii="Calibri" w:eastAsia="Times New Roman" w:hAnsi="Calibri" w:cs="Calibri"/>
                <w:lang w:eastAsia="fr-FR"/>
              </w:rPr>
            </w:pPr>
            <w:r>
              <w:rPr>
                <w:rFonts w:ascii="Calibri" w:eastAsia="Times New Roman" w:hAnsi="Calibri" w:cs="Calibri"/>
                <w:lang w:eastAsia="fr-FR"/>
              </w:rPr>
              <w:t>Fonction</w:t>
            </w:r>
          </w:p>
        </w:tc>
      </w:tr>
      <w:tr>
        <w:trPr>
          <w:gridAfter w:val="1"/>
          <w:wAfter w:w="6" w:type="dxa"/>
          <w:trHeight w:val="338"/>
        </w:trPr>
        <w:tc>
          <w:tcPr>
            <w:tcW w:w="10343" w:type="dxa"/>
            <w:gridSpan w:val="6"/>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b/>
                <w:lang w:eastAsia="fr-FR"/>
              </w:rPr>
              <w:t>Innover</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eastAsia="Times New Roman" w:hAnsi="Calibri" w:cs="Calibri"/>
                <w:lang w:eastAsia="fr-FR"/>
              </w:rPr>
            </w:pPr>
            <w:r>
              <w:rPr>
                <w:rFonts w:ascii="Calibri" w:eastAsia="Times New Roman" w:hAnsi="Calibri" w:cs="Calibri"/>
                <w:lang w:val="fr-FR" w:eastAsia="fr-FR"/>
              </w:rPr>
              <w:t xml:space="preserve">Avoir une capacité d’observation objective et d’analyse du fonctionnement de son école en vue, le cas échéant, de dégager des pistes d’action alternatives. </w:t>
            </w:r>
          </w:p>
        </w:tc>
        <w:tc>
          <w:tcPr>
            <w:tcW w:w="6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99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ascii="Calibri" w:eastAsia="Times New Roman" w:hAnsi="Calibri" w:cs="Calibri"/>
                <w:lang w:val="fr-FR" w:eastAsia="fr-FR"/>
              </w:rPr>
              <w:t>Être capable d'accompagner le changement.</w:t>
            </w:r>
          </w:p>
        </w:tc>
        <w:tc>
          <w:tcPr>
            <w:tcW w:w="6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99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ascii="Calibri" w:eastAsia="Times New Roman" w:hAnsi="Calibri" w:cs="Calibri"/>
                <w:lang w:val="fr-FR" w:eastAsia="fr-FR"/>
              </w:rPr>
              <w:t>Vous établissez des liens entre les diverses données, vous concevez des alternatives et tirez des conclusions adéquates.</w:t>
            </w:r>
          </w:p>
        </w:tc>
        <w:tc>
          <w:tcPr>
            <w:tcW w:w="6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99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gridAfter w:val="1"/>
          <w:wAfter w:w="6" w:type="dxa"/>
          <w:trHeight w:val="338"/>
        </w:trPr>
        <w:tc>
          <w:tcPr>
            <w:tcW w:w="10343" w:type="dxa"/>
            <w:gridSpan w:val="6"/>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b/>
                <w:lang w:eastAsia="fr-FR"/>
              </w:rPr>
              <w:t>Souder des équipes</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ascii="Calibri" w:eastAsia="Times New Roman" w:hAnsi="Calibri" w:cs="Calibri"/>
                <w:lang w:val="fr-FR" w:eastAsia="fr-FR"/>
              </w:rPr>
              <w:t>Être capable de prendre des décisions et de s’y tenir après avoir instruit la question à trancher et/ou au terme d’un processus participatif.</w:t>
            </w:r>
          </w:p>
        </w:tc>
        <w:tc>
          <w:tcPr>
            <w:tcW w:w="6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3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eastAsia="Times New Roman" w:hAnsi="Calibri" w:cs="Calibri"/>
                <w:lang w:eastAsia="fr-BE"/>
              </w:rPr>
            </w:pPr>
            <w:r>
              <w:rPr>
                <w:rFonts w:ascii="Calibri" w:eastAsia="Times New Roman" w:hAnsi="Calibri" w:cs="Calibri"/>
                <w:lang w:val="fr-FR" w:eastAsia="fr-FR"/>
              </w:rPr>
              <w:t xml:space="preserve">Reconnaitre les qualités des collaborateurs, les stimuler à prendre des initiatives en leur donnant des responsabilités et en adaptant son propre style de leadership. </w:t>
            </w:r>
          </w:p>
        </w:tc>
        <w:tc>
          <w:tcPr>
            <w:tcW w:w="6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103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gridAfter w:val="1"/>
          <w:wAfter w:w="6" w:type="dxa"/>
          <w:trHeight w:val="338"/>
        </w:trPr>
        <w:tc>
          <w:tcPr>
            <w:tcW w:w="10343" w:type="dxa"/>
            <w:gridSpan w:val="6"/>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Conseiller</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ascii="Calibri" w:hAnsi="Calibri" w:cs="Calibri"/>
                <w:lang w:val="fr"/>
              </w:rPr>
              <w:t>Vous fournissez des conseils à vos interlocuteurs et développez avec eux une relation de confiance basée sur votre expertise.</w:t>
            </w:r>
          </w:p>
        </w:tc>
        <w:tc>
          <w:tcPr>
            <w:tcW w:w="6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B</w:t>
            </w:r>
          </w:p>
        </w:tc>
        <w:tc>
          <w:tcPr>
            <w:tcW w:w="103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hAnsi="Calibri" w:cs="Calibri"/>
                <w:lang w:val="fr"/>
              </w:rPr>
            </w:pPr>
            <w:r>
              <w:rPr>
                <w:rFonts w:ascii="Calibri" w:eastAsia="Times New Roman" w:hAnsi="Calibri" w:cs="Calibri"/>
                <w:lang w:val="fr-FR" w:eastAsia="fr-FR"/>
              </w:rPr>
              <w:t>Avoir le sens de l’écoute et de la communication ; être capable de manifester de l’empathie, de l’enthousiasme et de la reconnaissance.</w:t>
            </w:r>
          </w:p>
        </w:tc>
        <w:tc>
          <w:tcPr>
            <w:tcW w:w="6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C  </w:t>
            </w:r>
          </w:p>
        </w:tc>
        <w:tc>
          <w:tcPr>
            <w:tcW w:w="103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gridAfter w:val="1"/>
          <w:wAfter w:w="6" w:type="dxa"/>
          <w:trHeight w:val="338"/>
        </w:trPr>
        <w:tc>
          <w:tcPr>
            <w:tcW w:w="10343" w:type="dxa"/>
            <w:gridSpan w:val="6"/>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b/>
                <w:lang w:eastAsia="fr-FR"/>
              </w:rPr>
              <w:t>Faire preuve de fiabilité</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ascii="Calibri" w:eastAsia="Times New Roman" w:hAnsi="Calibri" w:cs="Calibri"/>
                <w:lang w:val="fr-FR" w:eastAsia="fr-FR"/>
              </w:rPr>
              <w:t>Être cohérent dans ses principes, ses valeurs et son comportement, avoir le sens de l’intérêt général et respecter la dignité de la fonction.</w:t>
            </w:r>
          </w:p>
        </w:tc>
        <w:tc>
          <w:tcPr>
            <w:tcW w:w="617"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ascii="Calibri" w:eastAsia="Times New Roman" w:hAnsi="Calibri" w:cs="Calibri"/>
                <w:lang w:val="fr-FR" w:eastAsia="fr-FR"/>
              </w:rPr>
              <w:t>Vous vous impliquez et démontrez de la volonté et de l’ambition afin de générer des résultats et assumez la responsabilité de la qualité des actions entreprises.</w:t>
            </w:r>
          </w:p>
        </w:tc>
        <w:tc>
          <w:tcPr>
            <w:tcW w:w="617"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gridAfter w:val="1"/>
          <w:wAfter w:w="6" w:type="dxa"/>
          <w:trHeight w:val="340"/>
        </w:trPr>
        <w:tc>
          <w:tcPr>
            <w:tcW w:w="10343" w:type="dxa"/>
            <w:gridSpan w:val="6"/>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b/>
                <w:lang w:eastAsia="fr-FR"/>
              </w:rPr>
              <w:t>Décider</w:t>
            </w:r>
          </w:p>
        </w:tc>
      </w:tr>
      <w:tr>
        <w:trPr>
          <w:trHeight w:val="397"/>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ascii="Calibri" w:hAnsi="Calibri" w:cs="Calibri"/>
              </w:rPr>
              <w:t>Définir les objectifs de manière pro active, étayer des plans d'actions de manière minutieuse en y impliquant des bonnes ressources dans les délais disponibles</w:t>
            </w:r>
          </w:p>
        </w:tc>
        <w:tc>
          <w:tcPr>
            <w:tcW w:w="617"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B</w:t>
            </w:r>
          </w:p>
        </w:tc>
        <w:tc>
          <w:tcPr>
            <w:tcW w:w="10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97"/>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ascii="Calibri" w:eastAsia="Times New Roman" w:hAnsi="Calibri" w:cs="Calibri"/>
                <w:lang w:val="fr-FR" w:eastAsia="fr-FR"/>
              </w:rPr>
              <w:t>Vous prenez des décisions à partir d’informations (in)complètes et initiez des actions ciblées afin de mettre en œuvre les décisions.</w:t>
            </w:r>
          </w:p>
        </w:tc>
        <w:tc>
          <w:tcPr>
            <w:tcW w:w="617"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B </w:t>
            </w:r>
          </w:p>
        </w:tc>
        <w:tc>
          <w:tcPr>
            <w:tcW w:w="10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gridAfter w:val="1"/>
          <w:wAfter w:w="6" w:type="dxa"/>
          <w:trHeight w:val="338"/>
        </w:trPr>
        <w:tc>
          <w:tcPr>
            <w:tcW w:w="10343" w:type="dxa"/>
            <w:gridSpan w:val="6"/>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ascii="Calibri" w:eastAsia="Times New Roman" w:hAnsi="Calibri" w:cs="Calibri"/>
                <w:b/>
                <w:lang w:val="fr-FR" w:eastAsia="fr-FR"/>
              </w:rPr>
              <w:t>Gérer le stress</w:t>
            </w:r>
          </w:p>
        </w:tc>
      </w:tr>
      <w:tr>
        <w:trPr>
          <w:trHeight w:val="338"/>
        </w:trPr>
        <w:tc>
          <w:tcPr>
            <w:tcW w:w="8659" w:type="dxa"/>
            <w:tcBorders>
              <w:left w:val="single" w:sz="4" w:space="0" w:color="auto"/>
              <w:right w:val="single" w:sz="4" w:space="0" w:color="auto"/>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ascii="Calibri" w:eastAsia="Times New Roman" w:hAnsi="Calibri" w:cs="Calibri"/>
                <w:lang w:val="fr-FR" w:eastAsia="fr-FR"/>
              </w:rPr>
              <w:t>Réagir au stress en se focalisant sur le résultat en gérant ses émotions et en adoptant une attitude constructive face à la critique.</w:t>
            </w:r>
          </w:p>
        </w:tc>
        <w:tc>
          <w:tcPr>
            <w:tcW w:w="617"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B</w:t>
            </w:r>
          </w:p>
        </w:tc>
        <w:tc>
          <w:tcPr>
            <w:tcW w:w="107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C</w:t>
            </w:r>
          </w:p>
        </w:tc>
      </w:tr>
    </w:tbl>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tbl>
      <w:tblPr>
        <w:tblpPr w:leftFromText="141" w:rightFromText="141" w:vertAnchor="text" w:horzAnchor="margin" w:tblpXSpec="right" w:tblpY="-400"/>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ascii="Calibri" w:eastAsia="Times New Roman" w:hAnsi="Calibri"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color w:val="FFFFFF"/>
                <w:sz w:val="20"/>
                <w:szCs w:val="20"/>
                <w:lang w:eastAsia="fr-FR"/>
              </w:rPr>
              <w:t>Profil de compétence</w:t>
            </w:r>
          </w:p>
        </w:tc>
      </w:tr>
    </w:tbl>
    <w:p>
      <w:pPr>
        <w:spacing w:after="160" w:line="259" w:lineRule="auto"/>
        <w:rPr>
          <w:rFonts w:ascii="Verdana" w:hAnsi="Verdana"/>
        </w:rPr>
      </w:pPr>
    </w:p>
    <w:p>
      <w:pPr>
        <w:spacing w:after="160" w:line="259" w:lineRule="auto"/>
        <w:rPr>
          <w:rFonts w:cstheme="minorHAnsi"/>
        </w:rPr>
      </w:pPr>
      <w:r>
        <w:rPr>
          <w:rFonts w:ascii="Verdana" w:hAnsi="Verdana"/>
        </w:rPr>
        <w:t xml:space="preserve"> </w:t>
      </w:r>
      <w:r>
        <w:rPr>
          <w:rFonts w:cstheme="minorHAnsi"/>
        </w:rPr>
        <w:t xml:space="preserve">Voici un récapitulatif des compétences qui seront investiguées à l’entretien: </w:t>
      </w:r>
    </w:p>
    <w:p>
      <w:pPr>
        <w:shd w:val="clear" w:color="auto" w:fill="001D77"/>
        <w:spacing w:after="160" w:line="259" w:lineRule="auto"/>
        <w:jc w:val="center"/>
        <w:rPr>
          <w:rFonts w:cstheme="minorHAnsi"/>
          <w:sz w:val="28"/>
        </w:rPr>
      </w:pPr>
      <w:r>
        <w:rPr>
          <w:rFonts w:cstheme="minorHAnsi"/>
          <w:i/>
          <w:sz w:val="28"/>
        </w:rPr>
        <w:t>Compétences investiguées lors du Jury</w:t>
      </w:r>
    </w:p>
    <w:p>
      <w:pPr>
        <w:spacing w:after="160" w:line="259" w:lineRule="auto"/>
        <w:rPr>
          <w:rFonts w:cstheme="minorHAnsi"/>
        </w:rPr>
      </w:pPr>
    </w:p>
    <w:p>
      <w:pPr>
        <w:spacing w:after="160" w:line="259" w:lineRule="auto"/>
        <w:rPr>
          <w:rFonts w:cstheme="minorHAnsi"/>
        </w:rPr>
      </w:pPr>
    </w:p>
    <w:p>
      <w:pPr>
        <w:spacing w:after="160" w:line="259" w:lineRule="auto"/>
        <w:rPr>
          <w:rFonts w:cstheme="minorHAnsi"/>
        </w:rPr>
      </w:pPr>
    </w:p>
    <w:p>
      <w:pPr>
        <w:jc w:val="both"/>
        <w:rPr>
          <w:rFonts w:ascii="Verdana" w:hAnsi="Verdana"/>
        </w:rPr>
      </w:pPr>
      <w:r>
        <w:rPr>
          <w:rFonts w:cs="Arial"/>
          <w:b/>
          <w:szCs w:val="20"/>
        </w:rPr>
        <w:t>Il faut minimum 60% des points pour figurer dans le classement des lauréats potentiels (minimum de 60/100) soit : 81/135.</w:t>
      </w:r>
    </w:p>
    <w:p>
      <w:pPr>
        <w:tabs>
          <w:tab w:val="left" w:pos="3705"/>
        </w:tabs>
        <w:jc w:val="both"/>
        <w:rPr>
          <w:rFonts w:cs="Times New Roman"/>
        </w:rPr>
      </w:pPr>
      <w:r>
        <w:t>Le classement des lauréats sera établi sur base des résultats obtenus lors du jury. A égalité de points, la priorité sera donnée à la personne ayant obtenu le plus grand nombre de points aux parties « </w:t>
      </w:r>
      <w:r>
        <w:rPr>
          <w:rFonts w:ascii="Calibri" w:eastAsia="Times New Roman" w:hAnsi="Calibri" w:cs="Calibri"/>
          <w:color w:val="000000"/>
          <w:lang w:eastAsia="fr-FR"/>
        </w:rPr>
        <w:t>Avoir des compétences en gestion administrative, financière et matérielle de l’établissement</w:t>
      </w:r>
      <w:r>
        <w:t> » et «</w:t>
      </w:r>
      <w:r>
        <w:rPr>
          <w:rFonts w:eastAsia="Times New Roman"/>
          <w:lang w:eastAsia="fr-FR"/>
        </w:rPr>
        <w:t>Disposer de compétences pédagogiques et montrer un intérêt pour la recherche en éducation adaptée au niveau d’enseignement concerné ».</w:t>
      </w:r>
      <w:r>
        <w:t xml:space="preserve"> Si pour ces parties, des personnes ont des points égaux, leur classement sera établi de manière aléatoire.</w:t>
      </w:r>
    </w:p>
    <w:p>
      <w:pPr>
        <w:spacing w:after="160" w:line="259" w:lineRule="auto"/>
        <w:rPr>
          <w:rFonts w:cstheme="minorHAnsi"/>
        </w:rPr>
      </w:pPr>
    </w:p>
    <w:tbl>
      <w:tblPr>
        <w:tblpPr w:leftFromText="141" w:rightFromText="141" w:vertAnchor="page" w:horzAnchor="margin" w:tblpY="375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50"/>
        <w:gridCol w:w="1417"/>
      </w:tblGrid>
      <w:tr>
        <w:trPr>
          <w:trHeight w:val="841"/>
        </w:trPr>
        <w:tc>
          <w:tcPr>
            <w:tcW w:w="7650" w:type="dxa"/>
            <w:tcBorders>
              <w:left w:val="single" w:sz="4" w:space="0" w:color="auto"/>
              <w:right w:val="single" w:sz="4" w:space="0" w:color="auto"/>
            </w:tcBorders>
            <w:shd w:val="clear" w:color="auto" w:fill="FFFFFF" w:themeFill="background1"/>
            <w:vAlign w:val="center"/>
          </w:tcPr>
          <w:p>
            <w:pPr>
              <w:tabs>
                <w:tab w:val="left" w:pos="1985"/>
              </w:tabs>
              <w:spacing w:after="0" w:line="240" w:lineRule="auto"/>
              <w:jc w:val="center"/>
              <w:rPr>
                <w:rFonts w:ascii="Calibri" w:eastAsia="Times New Roman" w:hAnsi="Calibri" w:cs="Calibri"/>
                <w:b/>
                <w:lang w:val="fr-FR" w:eastAsia="fr-FR"/>
              </w:rPr>
            </w:pPr>
            <w:r>
              <w:rPr>
                <w:rFonts w:ascii="Calibri" w:eastAsia="Times New Roman" w:hAnsi="Calibri" w:cs="Calibri"/>
                <w:b/>
                <w:sz w:val="24"/>
                <w:lang w:val="fr-FR" w:eastAsia="fr-FR"/>
              </w:rPr>
              <w:t>Profil de compétence</w:t>
            </w:r>
          </w:p>
        </w:tc>
        <w:tc>
          <w:tcPr>
            <w:tcW w:w="1417" w:type="dxa"/>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 xml:space="preserve">Pondération </w:t>
            </w:r>
          </w:p>
        </w:tc>
      </w:tr>
      <w:tr>
        <w:trPr>
          <w:trHeight w:val="567"/>
        </w:trPr>
        <w:tc>
          <w:tcPr>
            <w:tcW w:w="7650" w:type="dxa"/>
            <w:tcBorders>
              <w:left w:val="single" w:sz="4" w:space="0" w:color="auto"/>
              <w:right w:val="single" w:sz="4" w:space="0" w:color="auto"/>
            </w:tcBorders>
            <w:shd w:val="clear" w:color="auto" w:fill="001D77"/>
            <w:vAlign w:val="center"/>
          </w:tcPr>
          <w:p>
            <w:pPr>
              <w:tabs>
                <w:tab w:val="left" w:pos="1985"/>
              </w:tabs>
              <w:spacing w:after="0" w:line="240" w:lineRule="auto"/>
              <w:rPr>
                <w:rFonts w:ascii="Calibri" w:eastAsia="Times New Roman" w:hAnsi="Calibri" w:cs="Calibri"/>
                <w:b/>
                <w:lang w:eastAsia="fr-FR"/>
              </w:rPr>
            </w:pPr>
            <w:r>
              <w:rPr>
                <w:rFonts w:ascii="Calibri" w:eastAsia="Times New Roman" w:hAnsi="Calibri" w:cs="Calibri"/>
                <w:b/>
                <w:lang w:val="fr-FR" w:eastAsia="fr-FR"/>
              </w:rPr>
              <w:t xml:space="preserve">Motivation </w:t>
            </w:r>
          </w:p>
        </w:tc>
        <w:tc>
          <w:tcPr>
            <w:tcW w:w="1417" w:type="dxa"/>
            <w:tcBorders>
              <w:left w:val="single" w:sz="4" w:space="0" w:color="auto"/>
              <w:right w:val="single" w:sz="4" w:space="0" w:color="auto"/>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20</w:t>
            </w:r>
          </w:p>
        </w:tc>
      </w:tr>
      <w:tr>
        <w:trPr>
          <w:trHeight w:val="567"/>
        </w:trPr>
        <w:tc>
          <w:tcPr>
            <w:tcW w:w="7650" w:type="dxa"/>
            <w:tcBorders>
              <w:left w:val="single" w:sz="4" w:space="0" w:color="auto"/>
              <w:right w:val="single" w:sz="4" w:space="0" w:color="auto"/>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ascii="Calibri" w:eastAsia="Times New Roman" w:hAnsi="Calibri" w:cs="Calibri"/>
                <w:b/>
                <w:lang w:val="fr-FR" w:eastAsia="fr-FR"/>
              </w:rPr>
              <w:t xml:space="preserve">Compétences techniques </w:t>
            </w:r>
          </w:p>
        </w:tc>
        <w:tc>
          <w:tcPr>
            <w:tcW w:w="1417" w:type="dxa"/>
            <w:tcBorders>
              <w:left w:val="single" w:sz="4" w:space="0" w:color="auto"/>
              <w:right w:val="single" w:sz="4" w:space="0" w:color="auto"/>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65</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ascii="Calibri" w:eastAsia="Times New Roman" w:hAnsi="Calibri" w:cs="Calibri"/>
                <w:color w:val="000000"/>
                <w:lang w:eastAsia="fr-FR"/>
              </w:rPr>
              <w:t>Avoir des compétences en gestion administrative, financière et matérielle de l’établissement.</w:t>
            </w:r>
          </w:p>
        </w:tc>
        <w:tc>
          <w:tcPr>
            <w:tcW w:w="1417" w:type="dxa"/>
            <w:tcBorders>
              <w:left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15</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jc w:val="both"/>
              <w:rPr>
                <w:rFonts w:ascii="Calibri" w:eastAsia="Times New Roman" w:hAnsi="Calibri" w:cs="Calibri"/>
                <w:lang w:val="fr-FR" w:eastAsia="fr-FR"/>
              </w:rPr>
            </w:pPr>
            <w:r>
              <w:rPr>
                <w:rFonts w:ascii="Calibri" w:eastAsia="Times New Roman" w:hAnsi="Calibri" w:cs="Times New Roman"/>
                <w:lang w:eastAsia="fr-FR"/>
              </w:rPr>
              <w:t>Disposer de compétences pédagogiques et montrer un intérêt pour la recherche en éducation adaptée au niveau d’enseignement concerné.</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15</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eastAsia="fr-FR"/>
              </w:rPr>
            </w:pPr>
            <w:r>
              <w:rPr>
                <w:rFonts w:ascii="Calibri" w:eastAsia="Times New Roman" w:hAnsi="Calibri" w:cs="Times New Roman"/>
                <w:lang w:eastAsia="fr-FR"/>
              </w:rPr>
              <w:t>Avoir la capacité de lire et comprendre un texte juridique.</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eastAsia="fr-BE"/>
              </w:rPr>
            </w:pPr>
            <w:r>
              <w:rPr>
                <w:rFonts w:ascii="Calibri" w:eastAsia="Times New Roman" w:hAnsi="Calibri" w:cs="Calibri"/>
                <w:color w:val="000000"/>
                <w:lang w:eastAsia="fr-FR"/>
              </w:rPr>
              <w:t>Etre capable de gérer des conflits.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ascii="Calibri" w:eastAsia="Times New Roman" w:hAnsi="Calibri" w:cs="Calibri"/>
                <w:lang w:eastAsia="fr-FR"/>
              </w:rPr>
              <w:t>Maîtriser les techniques de la communication orale.</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ascii="Calibri" w:eastAsia="Times New Roman" w:hAnsi="Calibri" w:cs="Calibri"/>
                <w:lang w:eastAsia="fr-FR"/>
              </w:rPr>
              <w:t xml:space="preserve">Maîtriser les techniques de la communication écrite. </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5</w:t>
            </w:r>
          </w:p>
        </w:tc>
      </w:tr>
      <w:tr>
        <w:trPr>
          <w:trHeight w:val="567"/>
        </w:trPr>
        <w:tc>
          <w:tcPr>
            <w:tcW w:w="7650" w:type="dxa"/>
            <w:tcBorders>
              <w:left w:val="single" w:sz="4" w:space="0" w:color="auto"/>
              <w:right w:val="single" w:sz="4" w:space="0" w:color="auto"/>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ascii="Calibri" w:eastAsia="Times New Roman" w:hAnsi="Calibri" w:cs="Calibri"/>
                <w:b/>
                <w:lang w:val="fr-FR" w:eastAsia="fr-FR"/>
              </w:rPr>
              <w:t xml:space="preserve">Compétences comportementales </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50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ascii="Calibri" w:eastAsia="Times New Roman" w:hAnsi="Calibri" w:cs="Calibri"/>
                <w:lang w:val="fr-FR" w:eastAsia="fr-FR"/>
              </w:rPr>
              <w:t>Innover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15</w:t>
            </w:r>
          </w:p>
        </w:tc>
      </w:tr>
      <w:tr>
        <w:trPr>
          <w:trHeight w:val="397"/>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ascii="Calibri" w:eastAsia="Times New Roman" w:hAnsi="Calibri" w:cs="Calibri"/>
                <w:lang w:val="fr-FR" w:eastAsia="fr-FR"/>
              </w:rPr>
              <w:t>Souder des équipes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15</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ascii="Calibri" w:eastAsia="Times New Roman" w:hAnsi="Calibri" w:cs="Calibri"/>
                <w:lang w:val="fr-FR" w:eastAsia="fr-FR"/>
              </w:rPr>
              <w:t>Conseiller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ascii="Calibri" w:eastAsia="Times New Roman" w:hAnsi="Calibri" w:cs="Calibri"/>
                <w:i/>
                <w:lang w:val="fr-FR" w:eastAsia="fr-FR"/>
              </w:rPr>
              <w:t>10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ascii="Calibri" w:eastAsia="Times New Roman" w:hAnsi="Calibri" w:cs="Calibri"/>
                <w:lang w:val="fr-FR" w:eastAsia="fr-FR"/>
              </w:rPr>
              <w:t>Faire preuve de fiabilité</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ascii="Calibri" w:eastAsia="Times New Roman" w:hAnsi="Calibri" w:cs="Calibri"/>
                <w:i/>
                <w:lang w:val="fr-FR" w:eastAsia="fr-FR"/>
              </w:rPr>
              <w:t>10</w:t>
            </w:r>
          </w:p>
        </w:tc>
      </w:tr>
      <w:tr>
        <w:trPr>
          <w:trHeight w:val="510"/>
        </w:trPr>
        <w:tc>
          <w:tcPr>
            <w:tcW w:w="7650" w:type="dxa"/>
            <w:tcBorders>
              <w:left w:val="single" w:sz="4" w:space="0" w:color="auto"/>
              <w:right w:val="single" w:sz="4" w:space="0" w:color="auto"/>
            </w:tcBorders>
            <w:shd w:val="clear" w:color="auto" w:fill="001D77"/>
            <w:vAlign w:val="center"/>
          </w:tcPr>
          <w:p>
            <w:pPr>
              <w:tabs>
                <w:tab w:val="left" w:pos="1985"/>
              </w:tabs>
              <w:spacing w:after="0" w:line="240" w:lineRule="auto"/>
              <w:jc w:val="right"/>
              <w:rPr>
                <w:rFonts w:ascii="Calibri" w:eastAsia="Times New Roman" w:hAnsi="Calibri" w:cs="Calibri"/>
                <w:b/>
                <w:lang w:val="fr-FR" w:eastAsia="fr-FR"/>
              </w:rPr>
            </w:pPr>
            <w:r>
              <w:rPr>
                <w:rFonts w:ascii="Calibri" w:eastAsia="Times New Roman" w:hAnsi="Calibri" w:cs="Calibri"/>
                <w:b/>
                <w:lang w:val="fr-FR" w:eastAsia="fr-FR"/>
              </w:rPr>
              <w:t xml:space="preserve">Total </w:t>
            </w:r>
          </w:p>
        </w:tc>
        <w:tc>
          <w:tcPr>
            <w:tcW w:w="1417" w:type="dxa"/>
            <w:tcBorders>
              <w:top w:val="single" w:sz="4" w:space="0" w:color="auto"/>
              <w:left w:val="single" w:sz="4" w:space="0" w:color="auto"/>
              <w:bottom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ascii="Calibri" w:eastAsia="Times New Roman" w:hAnsi="Calibri" w:cs="Calibri"/>
                <w:b/>
                <w:lang w:val="fr-FR" w:eastAsia="fr-FR"/>
              </w:rPr>
              <w:t>135 points</w:t>
            </w:r>
          </w:p>
        </w:tc>
      </w:tr>
    </w:tbl>
    <w:p>
      <w:pPr>
        <w:rPr>
          <w:rFonts w:cstheme="minorHAnsi"/>
          <w:sz w:val="28"/>
        </w:rPr>
      </w:pPr>
    </w:p>
    <w:sectPr>
      <w:footerReference w:type="default" r:id="rId21"/>
      <w:headerReference w:type="first" r:id="rId22"/>
      <w:pgSz w:w="11906" w:h="16838"/>
      <w:pgMar w:top="1417" w:right="1417" w:bottom="1417" w:left="1417" w:header="708"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0376886"/>
      <w:docPartObj>
        <w:docPartGallery w:val="Page Numbers (Bottom of Page)"/>
        <w:docPartUnique/>
      </w:docPartObj>
    </w:sdtPr>
    <w:sdtContent>
      <w:sdt>
        <w:sdtPr>
          <w:id w:val="-953857933"/>
          <w:docPartObj>
            <w:docPartGallery w:val="Page Numbers (Top of Page)"/>
            <w:docPartUnique/>
          </w:docPartObj>
        </w:sdtPr>
        <w:sdtContent>
          <w:p>
            <w:pPr>
              <w:pStyle w:val="Pieddepage"/>
              <w:jc w:val="right"/>
            </w:pPr>
            <w:r>
              <w:rPr>
                <w:noProof/>
                <w:lang w:eastAsia="fr-BE"/>
              </w:rPr>
              <w:drawing>
                <wp:anchor distT="0" distB="0" distL="114300" distR="114300" simplePos="0" relativeHeight="251671552" behindDoc="0" locked="0" layoutInCell="1" allowOverlap="1">
                  <wp:simplePos x="0" y="0"/>
                  <wp:positionH relativeFrom="margin">
                    <wp:align>center</wp:align>
                  </wp:positionH>
                  <wp:positionV relativeFrom="paragraph">
                    <wp:posOffset>-437759</wp:posOffset>
                  </wp:positionV>
                  <wp:extent cx="593766" cy="672465"/>
                  <wp:effectExtent l="0" t="0" r="0"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rotWithShape="1">
                          <a:blip r:embed="rId1" cstate="print">
                            <a:extLst>
                              <a:ext uri="{28A0092B-C50C-407E-A947-70E740481C1C}">
                                <a14:useLocalDpi xmlns:a14="http://schemas.microsoft.com/office/drawing/2010/main" val="0"/>
                              </a:ext>
                            </a:extLst>
                          </a:blip>
                          <a:srcRect r="78259"/>
                          <a:stretch/>
                        </pic:blipFill>
                        <pic:spPr bwMode="auto">
                          <a:xfrm>
                            <a:off x="0" y="0"/>
                            <a:ext cx="593766" cy="6724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13</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15</w:t>
            </w:r>
            <w:r>
              <w:rPr>
                <w:bCs/>
                <w:sz w:val="18"/>
                <w:szCs w:val="18"/>
              </w:rPr>
              <w:fldChar w:fldCharType="end"/>
            </w:r>
          </w:p>
        </w:sdtContent>
      </w:sdt>
    </w:sdtContent>
  </w:sdt>
  <w:p>
    <w:pPr>
      <w:pStyle w:val="Pieddepage"/>
      <w:rPr>
        <w:rFonts w:ascii="Calibri" w:hAnsi="Calibri" w:cs="Calibri"/>
        <w:color w:val="7F7F7F"/>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7926098"/>
      <w:docPartObj>
        <w:docPartGallery w:val="Page Numbers (Bottom of Page)"/>
        <w:docPartUnique/>
      </w:docPartObj>
    </w:sdtPr>
    <w:sdtContent>
      <w:sdt>
        <w:sdtPr>
          <w:id w:val="-1769616900"/>
          <w:docPartObj>
            <w:docPartGallery w:val="Page Numbers (Top of Page)"/>
            <w:docPartUnique/>
          </w:docPartObj>
        </w:sdtPr>
        <w:sdtContent>
          <w:p>
            <w:pPr>
              <w:pStyle w:val="Pieddepage"/>
              <w:jc w:val="right"/>
            </w:pPr>
            <w:r>
              <w:rPr>
                <w:noProof/>
                <w:lang w:eastAsia="fr-BE"/>
              </w:rPr>
              <w:drawing>
                <wp:anchor distT="0" distB="0" distL="114300" distR="114300" simplePos="0" relativeHeight="251669504" behindDoc="0" locked="0" layoutInCell="1" allowOverlap="1">
                  <wp:simplePos x="0" y="0"/>
                  <wp:positionH relativeFrom="margin">
                    <wp:align>center</wp:align>
                  </wp:positionH>
                  <wp:positionV relativeFrom="paragraph">
                    <wp:posOffset>-418563</wp:posOffset>
                  </wp:positionV>
                  <wp:extent cx="593766" cy="67246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rotWithShape="1">
                          <a:blip r:embed="rId1" cstate="print">
                            <a:extLst>
                              <a:ext uri="{28A0092B-C50C-407E-A947-70E740481C1C}">
                                <a14:useLocalDpi xmlns:a14="http://schemas.microsoft.com/office/drawing/2010/main" val="0"/>
                              </a:ext>
                            </a:extLst>
                          </a:blip>
                          <a:srcRect r="78259"/>
                          <a:stretch/>
                        </pic:blipFill>
                        <pic:spPr bwMode="auto">
                          <a:xfrm>
                            <a:off x="0" y="0"/>
                            <a:ext cx="593766" cy="6724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szCs w:val="18"/>
                <w:lang w:val="fr-FR"/>
              </w:rPr>
              <w:t xml:space="preserve">Page </w:t>
            </w:r>
            <w:r>
              <w:rPr>
                <w:bCs/>
                <w:sz w:val="18"/>
                <w:szCs w:val="18"/>
              </w:rPr>
              <w:fldChar w:fldCharType="begin"/>
            </w:r>
            <w:r>
              <w:rPr>
                <w:bCs/>
                <w:sz w:val="18"/>
                <w:szCs w:val="18"/>
              </w:rPr>
              <w:instrText>PAGE</w:instrText>
            </w:r>
            <w:r>
              <w:rPr>
                <w:bCs/>
                <w:sz w:val="18"/>
                <w:szCs w:val="18"/>
              </w:rPr>
              <w:fldChar w:fldCharType="separate"/>
            </w:r>
            <w:r>
              <w:rPr>
                <w:bCs/>
                <w:noProof/>
                <w:sz w:val="18"/>
                <w:szCs w:val="18"/>
              </w:rPr>
              <w:t>1</w:t>
            </w:r>
            <w:r>
              <w:rPr>
                <w:bCs/>
                <w:sz w:val="18"/>
                <w:szCs w:val="18"/>
              </w:rPr>
              <w:fldChar w:fldCharType="end"/>
            </w:r>
            <w:r>
              <w:rPr>
                <w:sz w:val="18"/>
                <w:szCs w:val="18"/>
                <w:lang w:val="fr-FR"/>
              </w:rPr>
              <w:t xml:space="preserve"> sur </w:t>
            </w:r>
            <w:r>
              <w:rPr>
                <w:bCs/>
                <w:sz w:val="18"/>
                <w:szCs w:val="18"/>
              </w:rPr>
              <w:fldChar w:fldCharType="begin"/>
            </w:r>
            <w:r>
              <w:rPr>
                <w:bCs/>
                <w:sz w:val="18"/>
                <w:szCs w:val="18"/>
              </w:rPr>
              <w:instrText>NUMPAGES</w:instrText>
            </w:r>
            <w:r>
              <w:rPr>
                <w:bCs/>
                <w:sz w:val="18"/>
                <w:szCs w:val="18"/>
              </w:rPr>
              <w:fldChar w:fldCharType="separate"/>
            </w:r>
            <w:r>
              <w:rPr>
                <w:bCs/>
                <w:noProof/>
                <w:sz w:val="18"/>
                <w:szCs w:val="18"/>
              </w:rPr>
              <w:t>1</w:t>
            </w:r>
            <w:r>
              <w:rPr>
                <w:bCs/>
                <w:sz w:val="18"/>
                <w:szCs w:val="18"/>
              </w:rPr>
              <w:fldChar w:fldCharType="end"/>
            </w:r>
          </w:p>
        </w:sdtContent>
      </w:sdt>
    </w:sdtContent>
  </w:sdt>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rPr>
        <w:sz w:val="18"/>
      </w:rPr>
    </w:pPr>
    <w:r>
      <w:rPr>
        <w:noProof/>
        <w:lang w:eastAsia="fr-BE"/>
      </w:rPr>
      <w:drawing>
        <wp:anchor distT="0" distB="0" distL="114300" distR="114300" simplePos="0" relativeHeight="251661312" behindDoc="0" locked="0" layoutInCell="1" allowOverlap="1">
          <wp:simplePos x="0" y="0"/>
          <wp:positionH relativeFrom="margin">
            <wp:align>center</wp:align>
          </wp:positionH>
          <wp:positionV relativeFrom="paragraph">
            <wp:posOffset>-50751</wp:posOffset>
          </wp:positionV>
          <wp:extent cx="593766" cy="672465"/>
          <wp:effectExtent l="0" t="0" r="0" b="0"/>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rotWithShape="1">
                  <a:blip r:embed="rId1" cstate="print">
                    <a:extLst>
                      <a:ext uri="{28A0092B-C50C-407E-A947-70E740481C1C}">
                        <a14:useLocalDpi xmlns:a14="http://schemas.microsoft.com/office/drawing/2010/main" val="0"/>
                      </a:ext>
                    </a:extLst>
                  </a:blip>
                  <a:srcRect r="78259"/>
                  <a:stretch/>
                </pic:blipFill>
                <pic:spPr bwMode="auto">
                  <a:xfrm>
                    <a:off x="0" y="0"/>
                    <a:ext cx="593766" cy="6724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rPr>
      <w:ptab w:relativeTo="margin" w:alignment="center" w:leader="none"/>
    </w:r>
    <w:r>
      <w:rPr>
        <w:sz w:val="18"/>
      </w:rPr>
      <w:ptab w:relativeTo="margin" w:alignment="right" w:leader="none"/>
    </w:r>
    <w:r>
      <w:rPr>
        <w:sz w:val="18"/>
        <w:lang w:val="fr-FR"/>
      </w:rPr>
      <w:t xml:space="preserve">Page </w:t>
    </w:r>
    <w:r>
      <w:rPr>
        <w:b/>
        <w:sz w:val="18"/>
      </w:rPr>
      <w:fldChar w:fldCharType="begin"/>
    </w:r>
    <w:r>
      <w:rPr>
        <w:b/>
        <w:sz w:val="18"/>
      </w:rPr>
      <w:instrText>PAGE  \* Arabic  \* MERGEFORMAT</w:instrText>
    </w:r>
    <w:r>
      <w:rPr>
        <w:b/>
        <w:sz w:val="18"/>
      </w:rPr>
      <w:fldChar w:fldCharType="separate"/>
    </w:r>
    <w:r>
      <w:rPr>
        <w:b/>
        <w:noProof/>
        <w:sz w:val="18"/>
        <w:lang w:val="fr-FR"/>
      </w:rPr>
      <w:t>15</w:t>
    </w:r>
    <w:r>
      <w:rPr>
        <w:b/>
        <w:sz w:val="18"/>
      </w:rPr>
      <w:fldChar w:fldCharType="end"/>
    </w:r>
    <w:r>
      <w:rPr>
        <w:sz w:val="18"/>
        <w:lang w:val="fr-FR"/>
      </w:rPr>
      <w:t xml:space="preserve"> sur </w:t>
    </w:r>
    <w:r>
      <w:rPr>
        <w:b/>
        <w:sz w:val="18"/>
      </w:rPr>
      <w:fldChar w:fldCharType="begin"/>
    </w:r>
    <w:r>
      <w:rPr>
        <w:b/>
        <w:sz w:val="18"/>
      </w:rPr>
      <w:instrText>NUMPAGES  \* Arabic  \* MERGEFORMAT</w:instrText>
    </w:r>
    <w:r>
      <w:rPr>
        <w:b/>
        <w:sz w:val="18"/>
      </w:rPr>
      <w:fldChar w:fldCharType="separate"/>
    </w:r>
    <w:r>
      <w:rPr>
        <w:b/>
        <w:noProof/>
        <w:sz w:val="18"/>
        <w:lang w:val="fr-FR"/>
      </w:rPr>
      <w:t>15</w:t>
    </w:r>
    <w:r>
      <w:rPr>
        <w:b/>
        <w:sz w:val="18"/>
      </w:rPr>
      <w:fldChar w:fldCharType="end"/>
    </w:r>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Notedebasdepage"/>
        <w:jc w:val="both"/>
      </w:pPr>
      <w:r>
        <w:rPr>
          <w:rStyle w:val="Appelnotedebasdep"/>
        </w:rPr>
        <w:footnoteRef/>
      </w:r>
      <w:r>
        <w:t xml:space="preserve"> </w:t>
      </w:r>
      <w:r>
        <w:rPr>
          <w:rFonts w:ascii="Calibri" w:hAnsi="Calibri" w:cs="Calibri"/>
        </w:rPr>
        <w:t>Dans l’enseignement secondaire artistique à horaire réduit, les membres du personnel enseignant des disciplines pour lesquelles n’existe pas de formation délivrant un titre de niveau supérieur du 1</w:t>
      </w:r>
      <w:r>
        <w:rPr>
          <w:rFonts w:ascii="Calibri" w:hAnsi="Calibri" w:cs="Calibri"/>
          <w:vertAlign w:val="superscript"/>
        </w:rPr>
        <w:t>er</w:t>
      </w:r>
      <w:r>
        <w:rPr>
          <w:rFonts w:ascii="Calibri" w:hAnsi="Calibri"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pPr>
        <w:pStyle w:val="Notedebasdepage"/>
        <w:jc w:val="both"/>
      </w:pPr>
      <w:r>
        <w:rPr>
          <w:rStyle w:val="Appelnotedebasdep"/>
        </w:rPr>
        <w:footnoteRef/>
      </w:r>
      <w:r>
        <w:t xml:space="preserve"> Constituant un titre de capacité tel que défini à l’article 100 du décret du 2 février 2007 fixant le statut des directeurs et directrices dans l’enseignement et directrices dans l’enseignement.</w:t>
      </w:r>
    </w:p>
  </w:footnote>
  <w:footnote w:id="3">
    <w:p>
      <w:pPr>
        <w:pStyle w:val="Notedebasdepage"/>
        <w:jc w:val="both"/>
      </w:pPr>
      <w:r>
        <w:rPr>
          <w:rStyle w:val="Appelnotedebasdep"/>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r>
      <w:rPr>
        <w:rFonts w:ascii="Times New Roman" w:eastAsia="Times New Roman" w:hAnsi="Times New Roman" w:cs="Times New Roman"/>
        <w:noProof/>
        <w:sz w:val="24"/>
        <w:szCs w:val="24"/>
        <w:lang w:eastAsia="fr-BE"/>
      </w:rPr>
      <w:drawing>
        <wp:anchor distT="0" distB="0" distL="114300" distR="114300" simplePos="0" relativeHeight="251667456" behindDoc="0" locked="0" layoutInCell="1" allowOverlap="1">
          <wp:simplePos x="0" y="0"/>
          <wp:positionH relativeFrom="margin">
            <wp:align>center</wp:align>
          </wp:positionH>
          <wp:positionV relativeFrom="paragraph">
            <wp:posOffset>-95003</wp:posOffset>
          </wp:positionV>
          <wp:extent cx="4919387" cy="1211283"/>
          <wp:effectExtent l="0" t="0" r="0" b="8255"/>
          <wp:wrapNone/>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jc w:val="center"/>
      <w:rPr>
        <w:rFonts w:ascii="Verdana" w:hAnsi="Verdana"/>
        <w:sz w:val="32"/>
      </w:rPr>
    </w:pPr>
    <w:r>
      <w:rPr>
        <w:noProof/>
        <w:lang w:eastAsia="fr-BE"/>
      </w:rPr>
      <w:drawing>
        <wp:anchor distT="0" distB="0" distL="114300" distR="114300" simplePos="0" relativeHeight="251663360" behindDoc="0" locked="0" layoutInCell="1" allowOverlap="1">
          <wp:simplePos x="0" y="0"/>
          <wp:positionH relativeFrom="column">
            <wp:posOffset>-783771</wp:posOffset>
          </wp:positionH>
          <wp:positionV relativeFrom="paragraph">
            <wp:posOffset>-356721</wp:posOffset>
          </wp:positionV>
          <wp:extent cx="1274445" cy="1146175"/>
          <wp:effectExtent l="0" t="0" r="1905" b="0"/>
          <wp:wrapSquare wrapText="bothSides"/>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1146175"/>
                  </a:xfrm>
                  <a:prstGeom prst="rect">
                    <a:avLst/>
                  </a:prstGeom>
                  <a:noFill/>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B32EA"/>
    <w:multiLevelType w:val="hybridMultilevel"/>
    <w:tmpl w:val="DDA8F5BE"/>
    <w:lvl w:ilvl="0" w:tplc="11F8C39E">
      <w:start w:val="1"/>
      <w:numFmt w:val="decimal"/>
      <w:lvlText w:val="%1."/>
      <w:lvlJc w:val="left"/>
      <w:pPr>
        <w:ind w:left="1068" w:hanging="360"/>
      </w:pPr>
      <w:rPr>
        <w:rFonts w:ascii="Verdana" w:eastAsia="Calibri" w:hAnsi="Verdana" w:cs="Times New Roman"/>
      </w:rPr>
    </w:lvl>
    <w:lvl w:ilvl="1" w:tplc="080C0003" w:tentative="1">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1" w15:restartNumberingAfterBreak="0">
    <w:nsid w:val="03016C98"/>
    <w:multiLevelType w:val="hybridMultilevel"/>
    <w:tmpl w:val="D6C041C2"/>
    <w:lvl w:ilvl="0" w:tplc="605654BA">
      <w:start w:val="1"/>
      <w:numFmt w:val="decimal"/>
      <w:lvlText w:val="%1."/>
      <w:lvlJc w:val="left"/>
      <w:pPr>
        <w:ind w:left="720" w:hanging="360"/>
      </w:pPr>
      <w:rPr>
        <w:rFonts w:hint="default"/>
        <w:i/>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07771874"/>
    <w:multiLevelType w:val="hybridMultilevel"/>
    <w:tmpl w:val="8132F082"/>
    <w:lvl w:ilvl="0" w:tplc="080C000B">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 w15:restartNumberingAfterBreak="0">
    <w:nsid w:val="07E16439"/>
    <w:multiLevelType w:val="hybridMultilevel"/>
    <w:tmpl w:val="4D8A037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09664D67"/>
    <w:multiLevelType w:val="hybridMultilevel"/>
    <w:tmpl w:val="F06AB02A"/>
    <w:lvl w:ilvl="0" w:tplc="7A8002E2">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5" w15:restartNumberingAfterBreak="0">
    <w:nsid w:val="0C7929A9"/>
    <w:multiLevelType w:val="hybridMultilevel"/>
    <w:tmpl w:val="8A08C73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0CA24421"/>
    <w:multiLevelType w:val="hybridMultilevel"/>
    <w:tmpl w:val="634A8424"/>
    <w:lvl w:ilvl="0" w:tplc="4F8AF212">
      <w:start w:val="1"/>
      <w:numFmt w:val="decimal"/>
      <w:lvlText w:val="%1."/>
      <w:lvlJc w:val="left"/>
      <w:pPr>
        <w:ind w:left="720" w:hanging="360"/>
      </w:pPr>
      <w:rPr>
        <w:rFonts w:hint="default"/>
        <w:i/>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119417EC"/>
    <w:multiLevelType w:val="hybridMultilevel"/>
    <w:tmpl w:val="9BB84958"/>
    <w:lvl w:ilvl="0" w:tplc="4C68B120">
      <w:start w:val="1"/>
      <w:numFmt w:val="decimal"/>
      <w:lvlText w:val="%1."/>
      <w:lvlJc w:val="left"/>
      <w:pPr>
        <w:ind w:left="1080" w:hanging="360"/>
      </w:pPr>
      <w:rPr>
        <w:rFonts w:ascii="Verdana" w:eastAsia="Calibri" w:hAnsi="Verdana" w:cs="Times New Roman"/>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8" w15:restartNumberingAfterBreak="0">
    <w:nsid w:val="156619DE"/>
    <w:multiLevelType w:val="hybridMultilevel"/>
    <w:tmpl w:val="20B87DBE"/>
    <w:lvl w:ilvl="0" w:tplc="6EE81B6E">
      <w:start w:val="1"/>
      <w:numFmt w:val="upperLetter"/>
      <w:lvlText w:val="%1."/>
      <w:lvlJc w:val="left"/>
      <w:pPr>
        <w:ind w:left="720" w:hanging="360"/>
      </w:pPr>
      <w:rPr>
        <w:rFonts w:ascii="Calibri" w:eastAsia="Times New Roman" w:hAnsi="Calibri" w:cs="Times New Roman"/>
        <w:color w:val="000000" w:themeColor="text1"/>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15B03B14"/>
    <w:multiLevelType w:val="hybridMultilevel"/>
    <w:tmpl w:val="36E2049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15E117B0"/>
    <w:multiLevelType w:val="hybridMultilevel"/>
    <w:tmpl w:val="792ADFDE"/>
    <w:lvl w:ilvl="0" w:tplc="080C000F">
      <w:start w:val="1"/>
      <w:numFmt w:val="decimal"/>
      <w:lvlText w:val="%1."/>
      <w:lvlJc w:val="left"/>
      <w:pPr>
        <w:ind w:left="1068" w:hanging="36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11" w15:restartNumberingAfterBreak="0">
    <w:nsid w:val="18DA1199"/>
    <w:multiLevelType w:val="hybridMultilevel"/>
    <w:tmpl w:val="69A20BBC"/>
    <w:lvl w:ilvl="0" w:tplc="0D549248">
      <w:start w:val="1"/>
      <w:numFmt w:val="decimal"/>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2" w15:restartNumberingAfterBreak="0">
    <w:nsid w:val="1E584CD3"/>
    <w:multiLevelType w:val="hybridMultilevel"/>
    <w:tmpl w:val="1F207236"/>
    <w:lvl w:ilvl="0" w:tplc="12464D56">
      <w:start w:val="1"/>
      <w:numFmt w:val="decimal"/>
      <w:lvlText w:val="%1."/>
      <w:lvlJc w:val="left"/>
      <w:pPr>
        <w:ind w:left="1080" w:hanging="360"/>
      </w:pPr>
      <w:rPr>
        <w:rFonts w:ascii="Verdana" w:eastAsia="Calibri" w:hAnsi="Verdana" w:cs="Times New Roman"/>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3" w15:restartNumberingAfterBreak="0">
    <w:nsid w:val="1F6B73D0"/>
    <w:multiLevelType w:val="hybridMultilevel"/>
    <w:tmpl w:val="751AF72E"/>
    <w:lvl w:ilvl="0" w:tplc="080C000B">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4" w15:restartNumberingAfterBreak="0">
    <w:nsid w:val="2A204F10"/>
    <w:multiLevelType w:val="hybridMultilevel"/>
    <w:tmpl w:val="73D062EE"/>
    <w:lvl w:ilvl="0" w:tplc="C40A3F08">
      <w:start w:val="1"/>
      <w:numFmt w:val="decimal"/>
      <w:lvlText w:val="%1."/>
      <w:lvlJc w:val="left"/>
      <w:pPr>
        <w:ind w:left="1080" w:hanging="360"/>
      </w:pPr>
      <w:rPr>
        <w:rFonts w:ascii="Verdana" w:eastAsia="Calibri" w:hAnsi="Verdana" w:cs="Times New Roman"/>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5" w15:restartNumberingAfterBreak="0">
    <w:nsid w:val="2E744F1E"/>
    <w:multiLevelType w:val="hybridMultilevel"/>
    <w:tmpl w:val="554C9E74"/>
    <w:lvl w:ilvl="0" w:tplc="523E9C44">
      <w:start w:val="1"/>
      <w:numFmt w:val="decimal"/>
      <w:lvlText w:val="%1."/>
      <w:lvlJc w:val="left"/>
      <w:pPr>
        <w:ind w:left="1068" w:hanging="36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16" w15:restartNumberingAfterBreak="0">
    <w:nsid w:val="316F37FB"/>
    <w:multiLevelType w:val="hybridMultilevel"/>
    <w:tmpl w:val="A49EC6F8"/>
    <w:lvl w:ilvl="0" w:tplc="660C77AC">
      <w:start w:val="4"/>
      <w:numFmt w:val="bullet"/>
      <w:lvlText w:val="-"/>
      <w:lvlJc w:val="left"/>
      <w:pPr>
        <w:ind w:left="290" w:hanging="360"/>
      </w:pPr>
      <w:rPr>
        <w:rFonts w:ascii="Calibri" w:eastAsia="Times New Roman" w:hAnsi="Calibri" w:cs="Calibri" w:hint="default"/>
      </w:rPr>
    </w:lvl>
    <w:lvl w:ilvl="1" w:tplc="080C0003" w:tentative="1">
      <w:start w:val="1"/>
      <w:numFmt w:val="bullet"/>
      <w:lvlText w:val="o"/>
      <w:lvlJc w:val="left"/>
      <w:pPr>
        <w:ind w:left="1010" w:hanging="360"/>
      </w:pPr>
      <w:rPr>
        <w:rFonts w:ascii="Courier New" w:hAnsi="Courier New" w:cs="Courier New" w:hint="default"/>
      </w:rPr>
    </w:lvl>
    <w:lvl w:ilvl="2" w:tplc="080C0005" w:tentative="1">
      <w:start w:val="1"/>
      <w:numFmt w:val="bullet"/>
      <w:lvlText w:val=""/>
      <w:lvlJc w:val="left"/>
      <w:pPr>
        <w:ind w:left="1730" w:hanging="360"/>
      </w:pPr>
      <w:rPr>
        <w:rFonts w:ascii="Wingdings" w:hAnsi="Wingdings" w:hint="default"/>
      </w:rPr>
    </w:lvl>
    <w:lvl w:ilvl="3" w:tplc="080C0001" w:tentative="1">
      <w:start w:val="1"/>
      <w:numFmt w:val="bullet"/>
      <w:lvlText w:val=""/>
      <w:lvlJc w:val="left"/>
      <w:pPr>
        <w:ind w:left="2450" w:hanging="360"/>
      </w:pPr>
      <w:rPr>
        <w:rFonts w:ascii="Symbol" w:hAnsi="Symbol" w:hint="default"/>
      </w:rPr>
    </w:lvl>
    <w:lvl w:ilvl="4" w:tplc="080C0003" w:tentative="1">
      <w:start w:val="1"/>
      <w:numFmt w:val="bullet"/>
      <w:lvlText w:val="o"/>
      <w:lvlJc w:val="left"/>
      <w:pPr>
        <w:ind w:left="3170" w:hanging="360"/>
      </w:pPr>
      <w:rPr>
        <w:rFonts w:ascii="Courier New" w:hAnsi="Courier New" w:cs="Courier New" w:hint="default"/>
      </w:rPr>
    </w:lvl>
    <w:lvl w:ilvl="5" w:tplc="080C0005" w:tentative="1">
      <w:start w:val="1"/>
      <w:numFmt w:val="bullet"/>
      <w:lvlText w:val=""/>
      <w:lvlJc w:val="left"/>
      <w:pPr>
        <w:ind w:left="3890" w:hanging="360"/>
      </w:pPr>
      <w:rPr>
        <w:rFonts w:ascii="Wingdings" w:hAnsi="Wingdings" w:hint="default"/>
      </w:rPr>
    </w:lvl>
    <w:lvl w:ilvl="6" w:tplc="080C0001" w:tentative="1">
      <w:start w:val="1"/>
      <w:numFmt w:val="bullet"/>
      <w:lvlText w:val=""/>
      <w:lvlJc w:val="left"/>
      <w:pPr>
        <w:ind w:left="4610" w:hanging="360"/>
      </w:pPr>
      <w:rPr>
        <w:rFonts w:ascii="Symbol" w:hAnsi="Symbol" w:hint="default"/>
      </w:rPr>
    </w:lvl>
    <w:lvl w:ilvl="7" w:tplc="080C0003" w:tentative="1">
      <w:start w:val="1"/>
      <w:numFmt w:val="bullet"/>
      <w:lvlText w:val="o"/>
      <w:lvlJc w:val="left"/>
      <w:pPr>
        <w:ind w:left="5330" w:hanging="360"/>
      </w:pPr>
      <w:rPr>
        <w:rFonts w:ascii="Courier New" w:hAnsi="Courier New" w:cs="Courier New" w:hint="default"/>
      </w:rPr>
    </w:lvl>
    <w:lvl w:ilvl="8" w:tplc="080C0005" w:tentative="1">
      <w:start w:val="1"/>
      <w:numFmt w:val="bullet"/>
      <w:lvlText w:val=""/>
      <w:lvlJc w:val="left"/>
      <w:pPr>
        <w:ind w:left="6050" w:hanging="360"/>
      </w:pPr>
      <w:rPr>
        <w:rFonts w:ascii="Wingdings" w:hAnsi="Wingdings" w:hint="default"/>
      </w:rPr>
    </w:lvl>
  </w:abstractNum>
  <w:abstractNum w:abstractNumId="17" w15:restartNumberingAfterBreak="0">
    <w:nsid w:val="349026D3"/>
    <w:multiLevelType w:val="hybridMultilevel"/>
    <w:tmpl w:val="BC9C25AC"/>
    <w:lvl w:ilvl="0" w:tplc="BCA0B790">
      <w:numFmt w:val="bullet"/>
      <w:lvlText w:val="-"/>
      <w:lvlJc w:val="left"/>
      <w:pPr>
        <w:ind w:left="290" w:hanging="360"/>
      </w:pPr>
      <w:rPr>
        <w:rFonts w:ascii="Calibri" w:eastAsiaTheme="minorHAnsi" w:hAnsi="Calibri" w:cs="Calibri" w:hint="default"/>
      </w:rPr>
    </w:lvl>
    <w:lvl w:ilvl="1" w:tplc="080C0003" w:tentative="1">
      <w:start w:val="1"/>
      <w:numFmt w:val="bullet"/>
      <w:lvlText w:val="o"/>
      <w:lvlJc w:val="left"/>
      <w:pPr>
        <w:ind w:left="1010" w:hanging="360"/>
      </w:pPr>
      <w:rPr>
        <w:rFonts w:ascii="Courier New" w:hAnsi="Courier New" w:cs="Courier New" w:hint="default"/>
      </w:rPr>
    </w:lvl>
    <w:lvl w:ilvl="2" w:tplc="080C0005" w:tentative="1">
      <w:start w:val="1"/>
      <w:numFmt w:val="bullet"/>
      <w:lvlText w:val=""/>
      <w:lvlJc w:val="left"/>
      <w:pPr>
        <w:ind w:left="1730" w:hanging="360"/>
      </w:pPr>
      <w:rPr>
        <w:rFonts w:ascii="Wingdings" w:hAnsi="Wingdings" w:hint="default"/>
      </w:rPr>
    </w:lvl>
    <w:lvl w:ilvl="3" w:tplc="080C0001" w:tentative="1">
      <w:start w:val="1"/>
      <w:numFmt w:val="bullet"/>
      <w:lvlText w:val=""/>
      <w:lvlJc w:val="left"/>
      <w:pPr>
        <w:ind w:left="2450" w:hanging="360"/>
      </w:pPr>
      <w:rPr>
        <w:rFonts w:ascii="Symbol" w:hAnsi="Symbol" w:hint="default"/>
      </w:rPr>
    </w:lvl>
    <w:lvl w:ilvl="4" w:tplc="080C0003" w:tentative="1">
      <w:start w:val="1"/>
      <w:numFmt w:val="bullet"/>
      <w:lvlText w:val="o"/>
      <w:lvlJc w:val="left"/>
      <w:pPr>
        <w:ind w:left="3170" w:hanging="360"/>
      </w:pPr>
      <w:rPr>
        <w:rFonts w:ascii="Courier New" w:hAnsi="Courier New" w:cs="Courier New" w:hint="default"/>
      </w:rPr>
    </w:lvl>
    <w:lvl w:ilvl="5" w:tplc="080C0005" w:tentative="1">
      <w:start w:val="1"/>
      <w:numFmt w:val="bullet"/>
      <w:lvlText w:val=""/>
      <w:lvlJc w:val="left"/>
      <w:pPr>
        <w:ind w:left="3890" w:hanging="360"/>
      </w:pPr>
      <w:rPr>
        <w:rFonts w:ascii="Wingdings" w:hAnsi="Wingdings" w:hint="default"/>
      </w:rPr>
    </w:lvl>
    <w:lvl w:ilvl="6" w:tplc="080C0001" w:tentative="1">
      <w:start w:val="1"/>
      <w:numFmt w:val="bullet"/>
      <w:lvlText w:val=""/>
      <w:lvlJc w:val="left"/>
      <w:pPr>
        <w:ind w:left="4610" w:hanging="360"/>
      </w:pPr>
      <w:rPr>
        <w:rFonts w:ascii="Symbol" w:hAnsi="Symbol" w:hint="default"/>
      </w:rPr>
    </w:lvl>
    <w:lvl w:ilvl="7" w:tplc="080C0003" w:tentative="1">
      <w:start w:val="1"/>
      <w:numFmt w:val="bullet"/>
      <w:lvlText w:val="o"/>
      <w:lvlJc w:val="left"/>
      <w:pPr>
        <w:ind w:left="5330" w:hanging="360"/>
      </w:pPr>
      <w:rPr>
        <w:rFonts w:ascii="Courier New" w:hAnsi="Courier New" w:cs="Courier New" w:hint="default"/>
      </w:rPr>
    </w:lvl>
    <w:lvl w:ilvl="8" w:tplc="080C0005" w:tentative="1">
      <w:start w:val="1"/>
      <w:numFmt w:val="bullet"/>
      <w:lvlText w:val=""/>
      <w:lvlJc w:val="left"/>
      <w:pPr>
        <w:ind w:left="6050" w:hanging="360"/>
      </w:pPr>
      <w:rPr>
        <w:rFonts w:ascii="Wingdings" w:hAnsi="Wingdings" w:hint="default"/>
      </w:rPr>
    </w:lvl>
  </w:abstractNum>
  <w:abstractNum w:abstractNumId="18" w15:restartNumberingAfterBreak="0">
    <w:nsid w:val="36343086"/>
    <w:multiLevelType w:val="hybridMultilevel"/>
    <w:tmpl w:val="7D84AB5A"/>
    <w:lvl w:ilvl="0" w:tplc="0664A662">
      <w:start w:val="1"/>
      <w:numFmt w:val="decimal"/>
      <w:lvlText w:val="%1."/>
      <w:lvlJc w:val="left"/>
      <w:pPr>
        <w:ind w:left="1068" w:hanging="36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19" w15:restartNumberingAfterBreak="0">
    <w:nsid w:val="39343269"/>
    <w:multiLevelType w:val="hybridMultilevel"/>
    <w:tmpl w:val="B41C4248"/>
    <w:lvl w:ilvl="0" w:tplc="4D98455E">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20" w15:restartNumberingAfterBreak="0">
    <w:nsid w:val="3951288C"/>
    <w:multiLevelType w:val="hybridMultilevel"/>
    <w:tmpl w:val="625CC95A"/>
    <w:lvl w:ilvl="0" w:tplc="080C000B">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1" w15:restartNumberingAfterBreak="0">
    <w:nsid w:val="40204DEC"/>
    <w:multiLevelType w:val="hybridMultilevel"/>
    <w:tmpl w:val="6928BFFA"/>
    <w:lvl w:ilvl="0" w:tplc="080C000B">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2" w15:restartNumberingAfterBreak="0">
    <w:nsid w:val="46183F88"/>
    <w:multiLevelType w:val="hybridMultilevel"/>
    <w:tmpl w:val="0F8A98E6"/>
    <w:lvl w:ilvl="0" w:tplc="5E3CBC74">
      <w:start w:val="1"/>
      <w:numFmt w:val="decimal"/>
      <w:lvlText w:val="%1."/>
      <w:lvlJc w:val="left"/>
      <w:pPr>
        <w:ind w:left="1080" w:hanging="360"/>
      </w:pPr>
      <w:rPr>
        <w:rFonts w:ascii="Verdana" w:eastAsia="Calibri" w:hAnsi="Verdana" w:cs="Times New Roman"/>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3" w15:restartNumberingAfterBreak="0">
    <w:nsid w:val="4AC950AC"/>
    <w:multiLevelType w:val="hybridMultilevel"/>
    <w:tmpl w:val="16900E30"/>
    <w:lvl w:ilvl="0" w:tplc="836C61FA">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24" w15:restartNumberingAfterBreak="0">
    <w:nsid w:val="4C5C3549"/>
    <w:multiLevelType w:val="hybridMultilevel"/>
    <w:tmpl w:val="682A920C"/>
    <w:lvl w:ilvl="0" w:tplc="40A6755A">
      <w:start w:val="1"/>
      <w:numFmt w:val="upperLetter"/>
      <w:lvlText w:val="%1."/>
      <w:lvlJc w:val="left"/>
      <w:pPr>
        <w:ind w:left="785" w:hanging="360"/>
      </w:pPr>
      <w:rPr>
        <w:rFonts w:ascii="Calibri" w:eastAsia="Times New Roman" w:hAnsi="Calibri" w:cs="Times New Roman"/>
        <w:color w:val="000000" w:themeColor="text1"/>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5" w15:restartNumberingAfterBreak="0">
    <w:nsid w:val="4F326D49"/>
    <w:multiLevelType w:val="hybridMultilevel"/>
    <w:tmpl w:val="88C6BBEA"/>
    <w:lvl w:ilvl="0" w:tplc="B840E6AC">
      <w:start w:val="1"/>
      <w:numFmt w:val="decimal"/>
      <w:lvlText w:val="%1."/>
      <w:lvlJc w:val="left"/>
      <w:pPr>
        <w:ind w:left="1080" w:hanging="360"/>
      </w:pPr>
      <w:rPr>
        <w:rFonts w:ascii="Verdana" w:eastAsia="Calibri" w:hAnsi="Verdana" w:cs="Times New Roman"/>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6" w15:restartNumberingAfterBreak="0">
    <w:nsid w:val="53873665"/>
    <w:multiLevelType w:val="hybridMultilevel"/>
    <w:tmpl w:val="1D886166"/>
    <w:lvl w:ilvl="0" w:tplc="5748CBE2">
      <w:start w:val="1"/>
      <w:numFmt w:val="decimal"/>
      <w:lvlText w:val="%1."/>
      <w:lvlJc w:val="left"/>
      <w:pPr>
        <w:ind w:left="1068" w:hanging="36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27" w15:restartNumberingAfterBreak="0">
    <w:nsid w:val="542E3B49"/>
    <w:multiLevelType w:val="hybridMultilevel"/>
    <w:tmpl w:val="5CD23BA4"/>
    <w:lvl w:ilvl="0" w:tplc="25907C70">
      <w:start w:val="1"/>
      <w:numFmt w:val="decimal"/>
      <w:lvlText w:val="%1."/>
      <w:lvlJc w:val="left"/>
      <w:pPr>
        <w:ind w:left="1068" w:hanging="36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28" w15:restartNumberingAfterBreak="0">
    <w:nsid w:val="54D650C6"/>
    <w:multiLevelType w:val="hybridMultilevel"/>
    <w:tmpl w:val="EB4EAE4A"/>
    <w:lvl w:ilvl="0" w:tplc="080C000F">
      <w:start w:val="1"/>
      <w:numFmt w:val="decimal"/>
      <w:lvlText w:val="%1."/>
      <w:lvlJc w:val="left"/>
      <w:pPr>
        <w:ind w:left="1068" w:hanging="360"/>
      </w:pPr>
      <w:rPr>
        <w:rFonts w:hint="default"/>
      </w:rPr>
    </w:lvl>
    <w:lvl w:ilvl="1" w:tplc="080C0019" w:tentative="1">
      <w:start w:val="1"/>
      <w:numFmt w:val="lowerLetter"/>
      <w:lvlText w:val="%2."/>
      <w:lvlJc w:val="left"/>
      <w:pPr>
        <w:ind w:left="1788" w:hanging="360"/>
      </w:pPr>
    </w:lvl>
    <w:lvl w:ilvl="2" w:tplc="080C001B" w:tentative="1">
      <w:start w:val="1"/>
      <w:numFmt w:val="lowerRoman"/>
      <w:lvlText w:val="%3."/>
      <w:lvlJc w:val="right"/>
      <w:pPr>
        <w:ind w:left="2508" w:hanging="180"/>
      </w:pPr>
    </w:lvl>
    <w:lvl w:ilvl="3" w:tplc="080C000F" w:tentative="1">
      <w:start w:val="1"/>
      <w:numFmt w:val="decimal"/>
      <w:lvlText w:val="%4."/>
      <w:lvlJc w:val="left"/>
      <w:pPr>
        <w:ind w:left="3228" w:hanging="360"/>
      </w:pPr>
    </w:lvl>
    <w:lvl w:ilvl="4" w:tplc="080C0019" w:tentative="1">
      <w:start w:val="1"/>
      <w:numFmt w:val="lowerLetter"/>
      <w:lvlText w:val="%5."/>
      <w:lvlJc w:val="left"/>
      <w:pPr>
        <w:ind w:left="3948" w:hanging="360"/>
      </w:pPr>
    </w:lvl>
    <w:lvl w:ilvl="5" w:tplc="080C001B" w:tentative="1">
      <w:start w:val="1"/>
      <w:numFmt w:val="lowerRoman"/>
      <w:lvlText w:val="%6."/>
      <w:lvlJc w:val="right"/>
      <w:pPr>
        <w:ind w:left="4668" w:hanging="180"/>
      </w:pPr>
    </w:lvl>
    <w:lvl w:ilvl="6" w:tplc="080C000F" w:tentative="1">
      <w:start w:val="1"/>
      <w:numFmt w:val="decimal"/>
      <w:lvlText w:val="%7."/>
      <w:lvlJc w:val="left"/>
      <w:pPr>
        <w:ind w:left="5388" w:hanging="360"/>
      </w:pPr>
    </w:lvl>
    <w:lvl w:ilvl="7" w:tplc="080C0019" w:tentative="1">
      <w:start w:val="1"/>
      <w:numFmt w:val="lowerLetter"/>
      <w:lvlText w:val="%8."/>
      <w:lvlJc w:val="left"/>
      <w:pPr>
        <w:ind w:left="6108" w:hanging="360"/>
      </w:pPr>
    </w:lvl>
    <w:lvl w:ilvl="8" w:tplc="080C001B" w:tentative="1">
      <w:start w:val="1"/>
      <w:numFmt w:val="lowerRoman"/>
      <w:lvlText w:val="%9."/>
      <w:lvlJc w:val="right"/>
      <w:pPr>
        <w:ind w:left="6828" w:hanging="180"/>
      </w:pPr>
    </w:lvl>
  </w:abstractNum>
  <w:abstractNum w:abstractNumId="29" w15:restartNumberingAfterBreak="0">
    <w:nsid w:val="56361876"/>
    <w:multiLevelType w:val="hybridMultilevel"/>
    <w:tmpl w:val="DDC80164"/>
    <w:lvl w:ilvl="0" w:tplc="C89CAC34">
      <w:start w:val="5020"/>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5C3526F7"/>
    <w:multiLevelType w:val="hybridMultilevel"/>
    <w:tmpl w:val="80084C30"/>
    <w:lvl w:ilvl="0" w:tplc="902A2ECA">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31" w15:restartNumberingAfterBreak="0">
    <w:nsid w:val="64C40118"/>
    <w:multiLevelType w:val="hybridMultilevel"/>
    <w:tmpl w:val="BC548520"/>
    <w:lvl w:ilvl="0" w:tplc="76F4098C">
      <w:start w:val="3"/>
      <w:numFmt w:val="bullet"/>
      <w:lvlText w:val="-"/>
      <w:lvlJc w:val="left"/>
      <w:pPr>
        <w:ind w:left="720" w:hanging="360"/>
      </w:pPr>
      <w:rPr>
        <w:rFonts w:ascii="Verdana" w:eastAsia="Times New Roman" w:hAnsi="Verdana"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15:restartNumberingAfterBreak="0">
    <w:nsid w:val="6527490C"/>
    <w:multiLevelType w:val="hybridMultilevel"/>
    <w:tmpl w:val="1AFA4368"/>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66581705"/>
    <w:multiLevelType w:val="hybridMultilevel"/>
    <w:tmpl w:val="682A920C"/>
    <w:lvl w:ilvl="0" w:tplc="40A6755A">
      <w:start w:val="1"/>
      <w:numFmt w:val="upperLetter"/>
      <w:lvlText w:val="%1."/>
      <w:lvlJc w:val="left"/>
      <w:pPr>
        <w:ind w:left="785" w:hanging="360"/>
      </w:pPr>
      <w:rPr>
        <w:rFonts w:ascii="Calibri" w:eastAsia="Times New Roman" w:hAnsi="Calibri" w:cs="Times New Roman"/>
        <w:color w:val="000000" w:themeColor="text1"/>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4" w15:restartNumberingAfterBreak="0">
    <w:nsid w:val="67016745"/>
    <w:multiLevelType w:val="hybridMultilevel"/>
    <w:tmpl w:val="9C76E5AA"/>
    <w:lvl w:ilvl="0" w:tplc="394C8368">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35" w15:restartNumberingAfterBreak="0">
    <w:nsid w:val="6A144E48"/>
    <w:multiLevelType w:val="hybridMultilevel"/>
    <w:tmpl w:val="A35A33C8"/>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6" w15:restartNumberingAfterBreak="0">
    <w:nsid w:val="6B1251B5"/>
    <w:multiLevelType w:val="hybridMultilevel"/>
    <w:tmpl w:val="D4485BB8"/>
    <w:lvl w:ilvl="0" w:tplc="BA7EEEC6">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37" w15:restartNumberingAfterBreak="0">
    <w:nsid w:val="6C996DC2"/>
    <w:multiLevelType w:val="hybridMultilevel"/>
    <w:tmpl w:val="E4A29676"/>
    <w:lvl w:ilvl="0" w:tplc="1D9AE4C4">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38" w15:restartNumberingAfterBreak="0">
    <w:nsid w:val="6D0071D1"/>
    <w:multiLevelType w:val="hybridMultilevel"/>
    <w:tmpl w:val="48A2D66E"/>
    <w:lvl w:ilvl="0" w:tplc="080C000B">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9" w15:restartNumberingAfterBreak="0">
    <w:nsid w:val="6E1E508B"/>
    <w:multiLevelType w:val="hybridMultilevel"/>
    <w:tmpl w:val="FB909044"/>
    <w:lvl w:ilvl="0" w:tplc="E5220208">
      <w:start w:val="1"/>
      <w:numFmt w:val="decimal"/>
      <w:lvlText w:val="%1."/>
      <w:lvlJc w:val="left"/>
      <w:pPr>
        <w:ind w:left="1080" w:hanging="360"/>
      </w:pPr>
      <w:rPr>
        <w:rFonts w:ascii="Verdana" w:eastAsiaTheme="minorHAnsi" w:hAnsi="Verdana" w:cstheme="minorBidi"/>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40" w15:restartNumberingAfterBreak="0">
    <w:nsid w:val="6E6C6A3D"/>
    <w:multiLevelType w:val="hybridMultilevel"/>
    <w:tmpl w:val="F3524DC8"/>
    <w:lvl w:ilvl="0" w:tplc="080C000B">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41" w15:restartNumberingAfterBreak="0">
    <w:nsid w:val="741A6757"/>
    <w:multiLevelType w:val="hybridMultilevel"/>
    <w:tmpl w:val="8E7E011A"/>
    <w:lvl w:ilvl="0" w:tplc="E1E8FD28">
      <w:start w:val="5020"/>
      <w:numFmt w:val="bullet"/>
      <w:lvlText w:val="-"/>
      <w:lvlJc w:val="left"/>
      <w:pPr>
        <w:ind w:left="720" w:hanging="360"/>
      </w:pPr>
      <w:rPr>
        <w:rFonts w:ascii="Verdana" w:eastAsiaTheme="minorHAnsi" w:hAnsi="Verdana"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2" w15:restartNumberingAfterBreak="0">
    <w:nsid w:val="75644995"/>
    <w:multiLevelType w:val="hybridMultilevel"/>
    <w:tmpl w:val="682A920C"/>
    <w:lvl w:ilvl="0" w:tplc="40A6755A">
      <w:start w:val="1"/>
      <w:numFmt w:val="upperLetter"/>
      <w:lvlText w:val="%1."/>
      <w:lvlJc w:val="left"/>
      <w:pPr>
        <w:ind w:left="785" w:hanging="360"/>
      </w:pPr>
      <w:rPr>
        <w:rFonts w:ascii="Calibri" w:eastAsia="Times New Roman" w:hAnsi="Calibri" w:cs="Times New Roman"/>
        <w:color w:val="000000" w:themeColor="text1"/>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3" w15:restartNumberingAfterBreak="0">
    <w:nsid w:val="78C62275"/>
    <w:multiLevelType w:val="hybridMultilevel"/>
    <w:tmpl w:val="D5E40B32"/>
    <w:lvl w:ilvl="0" w:tplc="2222EED4">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44" w15:restartNumberingAfterBreak="0">
    <w:nsid w:val="78CC7D67"/>
    <w:multiLevelType w:val="hybridMultilevel"/>
    <w:tmpl w:val="EB3885F6"/>
    <w:lvl w:ilvl="0" w:tplc="C3AC3AC4">
      <w:start w:val="1"/>
      <w:numFmt w:val="decimal"/>
      <w:lvlText w:val="%1."/>
      <w:lvlJc w:val="left"/>
      <w:pPr>
        <w:ind w:left="1080" w:hanging="360"/>
      </w:pPr>
      <w:rPr>
        <w:rFonts w:ascii="Verdana" w:eastAsiaTheme="minorHAnsi" w:hAnsi="Verdana" w:cstheme="minorBidi"/>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45" w15:restartNumberingAfterBreak="0">
    <w:nsid w:val="78E9469F"/>
    <w:multiLevelType w:val="hybridMultilevel"/>
    <w:tmpl w:val="9A460E1E"/>
    <w:lvl w:ilvl="0" w:tplc="080C000B">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num w:numId="1">
    <w:abstractNumId w:val="40"/>
  </w:num>
  <w:num w:numId="2">
    <w:abstractNumId w:val="38"/>
  </w:num>
  <w:num w:numId="3">
    <w:abstractNumId w:val="20"/>
  </w:num>
  <w:num w:numId="4">
    <w:abstractNumId w:val="13"/>
  </w:num>
  <w:num w:numId="5">
    <w:abstractNumId w:val="45"/>
  </w:num>
  <w:num w:numId="6">
    <w:abstractNumId w:val="2"/>
  </w:num>
  <w:num w:numId="7">
    <w:abstractNumId w:val="39"/>
  </w:num>
  <w:num w:numId="8">
    <w:abstractNumId w:val="44"/>
  </w:num>
  <w:num w:numId="9">
    <w:abstractNumId w:val="12"/>
  </w:num>
  <w:num w:numId="10">
    <w:abstractNumId w:val="22"/>
  </w:num>
  <w:num w:numId="11">
    <w:abstractNumId w:val="14"/>
  </w:num>
  <w:num w:numId="12">
    <w:abstractNumId w:val="0"/>
  </w:num>
  <w:num w:numId="13">
    <w:abstractNumId w:val="21"/>
  </w:num>
  <w:num w:numId="14">
    <w:abstractNumId w:val="7"/>
  </w:num>
  <w:num w:numId="15">
    <w:abstractNumId w:val="25"/>
  </w:num>
  <w:num w:numId="16">
    <w:abstractNumId w:val="34"/>
  </w:num>
  <w:num w:numId="17">
    <w:abstractNumId w:val="19"/>
  </w:num>
  <w:num w:numId="18">
    <w:abstractNumId w:val="37"/>
  </w:num>
  <w:num w:numId="19">
    <w:abstractNumId w:val="15"/>
  </w:num>
  <w:num w:numId="20">
    <w:abstractNumId w:val="10"/>
  </w:num>
  <w:num w:numId="21">
    <w:abstractNumId w:val="26"/>
  </w:num>
  <w:num w:numId="22">
    <w:abstractNumId w:val="30"/>
  </w:num>
  <w:num w:numId="23">
    <w:abstractNumId w:val="11"/>
  </w:num>
  <w:num w:numId="24">
    <w:abstractNumId w:val="28"/>
  </w:num>
  <w:num w:numId="25">
    <w:abstractNumId w:val="9"/>
  </w:num>
  <w:num w:numId="26">
    <w:abstractNumId w:val="35"/>
  </w:num>
  <w:num w:numId="27">
    <w:abstractNumId w:val="36"/>
  </w:num>
  <w:num w:numId="28">
    <w:abstractNumId w:val="23"/>
  </w:num>
  <w:num w:numId="29">
    <w:abstractNumId w:val="43"/>
  </w:num>
  <w:num w:numId="30">
    <w:abstractNumId w:val="4"/>
  </w:num>
  <w:num w:numId="31">
    <w:abstractNumId w:val="27"/>
  </w:num>
  <w:num w:numId="32">
    <w:abstractNumId w:val="18"/>
  </w:num>
  <w:num w:numId="33">
    <w:abstractNumId w:val="32"/>
  </w:num>
  <w:num w:numId="34">
    <w:abstractNumId w:val="6"/>
  </w:num>
  <w:num w:numId="35">
    <w:abstractNumId w:val="5"/>
  </w:num>
  <w:num w:numId="36">
    <w:abstractNumId w:val="1"/>
  </w:num>
  <w:num w:numId="37">
    <w:abstractNumId w:val="31"/>
  </w:num>
  <w:num w:numId="38">
    <w:abstractNumId w:val="8"/>
  </w:num>
  <w:num w:numId="39">
    <w:abstractNumId w:val="33"/>
  </w:num>
  <w:num w:numId="40">
    <w:abstractNumId w:val="16"/>
  </w:num>
  <w:num w:numId="41">
    <w:abstractNumId w:val="42"/>
  </w:num>
  <w:num w:numId="42">
    <w:abstractNumId w:val="24"/>
  </w:num>
  <w:num w:numId="43">
    <w:abstractNumId w:val="41"/>
  </w:num>
  <w:num w:numId="44">
    <w:abstractNumId w:val="3"/>
  </w:num>
  <w:num w:numId="45">
    <w:abstractNumId w:val="29"/>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0A7D65-71CD-46D1-AAC6-43D7416F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paragraph" w:styleId="Titre2">
    <w:name w:val="heading 2"/>
    <w:basedOn w:val="Normal"/>
    <w:link w:val="Titre2C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pPr>
      <w:widowControl w:val="0"/>
      <w:spacing w:after="0" w:line="240" w:lineRule="exact"/>
      <w:jc w:val="both"/>
    </w:pPr>
    <w:rPr>
      <w:rFonts w:ascii="Century Schoolbook" w:eastAsia="Times New Roman" w:hAnsi="Century Schoolbook" w:cs="Century Schoolbook"/>
      <w:sz w:val="20"/>
      <w:szCs w:val="20"/>
      <w:lang w:eastAsia="fr-FR"/>
    </w:rPr>
  </w:style>
  <w:style w:type="character" w:customStyle="1" w:styleId="CommentaireCar">
    <w:name w:val="Commentaire Car"/>
    <w:basedOn w:val="Policepardfaut"/>
    <w:link w:val="Commentaire"/>
    <w:uiPriority w:val="99"/>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unhideWhenUsed/>
    <w:rPr>
      <w:vertAlign w:val="superscript"/>
    </w:rPr>
  </w:style>
  <w:style w:type="character" w:styleId="Marquedecommentaire">
    <w:name w:val="annotation reference"/>
    <w:basedOn w:val="Policepardfaut"/>
    <w:uiPriority w:val="99"/>
    <w:semiHidden/>
    <w:unhideWhenUsed/>
    <w:rPr>
      <w:sz w:val="16"/>
      <w:szCs w:val="16"/>
    </w:rPr>
  </w:style>
  <w:style w:type="paragraph" w:styleId="En-tte">
    <w:name w:val="header"/>
    <w:basedOn w:val="Normal"/>
    <w:link w:val="En-tteCar"/>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spacing w:after="160" w:line="259" w:lineRule="auto"/>
      <w:ind w:left="720"/>
      <w:contextualSpacing/>
    </w:pPr>
    <w:rPr>
      <w:rFonts w:ascii="Calibri" w:eastAsia="Calibri" w:hAnsi="Calibri" w:cs="Times New Roman"/>
    </w:rPr>
  </w:style>
  <w:style w:type="table" w:styleId="Grilledutableau">
    <w:name w:val="Table Grid"/>
    <w:basedOn w:val="Tableau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unhideWhenUsed/>
    <w:pPr>
      <w:widowControl/>
      <w:spacing w:after="200" w:line="240" w:lineRule="auto"/>
      <w:jc w:val="left"/>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Pr>
      <w:rFonts w:ascii="Century Schoolbook" w:eastAsia="Times New Roman" w:hAnsi="Century Schoolbook" w:cs="Century Schoolbook"/>
      <w:b/>
      <w:bCs/>
      <w:sz w:val="20"/>
      <w:szCs w:val="20"/>
      <w:lang w:eastAsia="fr-FR"/>
    </w:rPr>
  </w:style>
  <w:style w:type="character" w:styleId="Lienhypertexte">
    <w:name w:val="Hyperlink"/>
    <w:basedOn w:val="Policepardfaut"/>
    <w:uiPriority w:val="99"/>
    <w:unhideWhenUsed/>
    <w:rPr>
      <w:color w:val="0563C1" w:themeColor="hyperlink"/>
      <w:u w:val="single"/>
    </w:rPr>
  </w:style>
  <w:style w:type="character" w:styleId="lev">
    <w:name w:val="Strong"/>
    <w:basedOn w:val="Policepardfaut"/>
    <w:uiPriority w:val="22"/>
    <w:qFormat/>
    <w:rPr>
      <w:b/>
      <w:bCs/>
    </w:rPr>
  </w:style>
  <w:style w:type="paragraph" w:customStyle="1" w:styleId="text-justify">
    <w:name w:val="text-justify"/>
    <w:basedOn w:val="Normal"/>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styleId="Titre">
    <w:name w:val="Title"/>
    <w:basedOn w:val="Normal"/>
    <w:next w:val="Normal"/>
    <w:link w:val="TitreCar"/>
    <w:uiPriority w:val="10"/>
    <w:qFormat/>
    <w:pPr>
      <w:spacing w:before="3600" w:after="240" w:line="240" w:lineRule="auto"/>
      <w:contextualSpacing/>
    </w:pPr>
    <w:rPr>
      <w:rFonts w:asciiTheme="majorHAnsi" w:eastAsiaTheme="majorEastAsia" w:hAnsiTheme="majorHAnsi" w:cstheme="majorBidi"/>
      <w:b/>
      <w:caps/>
      <w:color w:val="5B9BD5" w:themeColor="accent1"/>
      <w:spacing w:val="30"/>
      <w:kern w:val="28"/>
      <w:sz w:val="72"/>
      <w:szCs w:val="52"/>
      <w:lang w:val="nl-BE" w:eastAsia="nl-BE"/>
      <w14:textOutline w14:w="9525" w14:cap="rnd" w14:cmpd="sng" w14:algn="ctr">
        <w14:noFill/>
        <w14:prstDash w14:val="solid"/>
        <w14:bevel/>
      </w14:textOutline>
    </w:rPr>
  </w:style>
  <w:style w:type="character" w:customStyle="1" w:styleId="TitreCar">
    <w:name w:val="Titre Car"/>
    <w:basedOn w:val="Policepardfaut"/>
    <w:link w:val="Titre"/>
    <w:uiPriority w:val="10"/>
    <w:rPr>
      <w:rFonts w:asciiTheme="majorHAnsi" w:eastAsiaTheme="majorEastAsia" w:hAnsiTheme="majorHAnsi" w:cstheme="majorBidi"/>
      <w:b/>
      <w:caps/>
      <w:color w:val="5B9BD5" w:themeColor="accent1"/>
      <w:spacing w:val="30"/>
      <w:kern w:val="28"/>
      <w:sz w:val="72"/>
      <w:szCs w:val="52"/>
      <w:lang w:val="nl-BE" w:eastAsia="nl-BE"/>
      <w14:textOutline w14:w="9525" w14:cap="rnd" w14:cmpd="sng" w14:algn="ctr">
        <w14:noFill/>
        <w14:prstDash w14:val="solid"/>
        <w14:bevel/>
      </w14:textOutline>
    </w:rPr>
  </w:style>
  <w:style w:type="paragraph" w:styleId="Sous-titre">
    <w:name w:val="Subtitle"/>
    <w:basedOn w:val="Normal"/>
    <w:next w:val="Normal"/>
    <w:link w:val="Sous-titreCar"/>
    <w:uiPriority w:val="11"/>
    <w:qFormat/>
    <w:pPr>
      <w:numPr>
        <w:ilvl w:val="1"/>
      </w:numPr>
      <w:spacing w:after="0" w:line="274" w:lineRule="auto"/>
    </w:pPr>
    <w:rPr>
      <w:rFonts w:ascii="Arial" w:eastAsiaTheme="majorEastAsia" w:hAnsi="Arial" w:cstheme="majorBidi"/>
      <w:b/>
      <w:iCs/>
      <w:caps/>
      <w:color w:val="ED7D31" w:themeColor="accent2"/>
      <w:sz w:val="44"/>
      <w:szCs w:val="24"/>
      <w:lang w:val="nl-BE" w:eastAsia="nl-BE" w:bidi="hi-IN"/>
    </w:rPr>
  </w:style>
  <w:style w:type="character" w:customStyle="1" w:styleId="Sous-titreCar">
    <w:name w:val="Sous-titre Car"/>
    <w:basedOn w:val="Policepardfaut"/>
    <w:link w:val="Sous-titre"/>
    <w:uiPriority w:val="11"/>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rPr>
      <w:color w:val="808080"/>
    </w:rPr>
  </w:style>
  <w:style w:type="character" w:customStyle="1" w:styleId="Titre2Car">
    <w:name w:val="Titre 2 Car"/>
    <w:basedOn w:val="Policepardfaut"/>
    <w:link w:val="Titre2"/>
    <w:uiPriority w:val="9"/>
    <w:rPr>
      <w:rFonts w:ascii="Times New Roman" w:eastAsia="Times New Roman" w:hAnsi="Times New Roman" w:cs="Times New Roman"/>
      <w:b/>
      <w:bCs/>
      <w:sz w:val="36"/>
      <w:szCs w:val="36"/>
      <w:lang w:eastAsia="fr-BE"/>
    </w:rPr>
  </w:style>
  <w:style w:type="character" w:styleId="Lienhypertextesuivivisit">
    <w:name w:val="FollowedHyperlink"/>
    <w:basedOn w:val="Policepardfaut"/>
    <w:uiPriority w:val="99"/>
    <w:semiHidden/>
    <w:unhideWhenUsed/>
    <w:rPr>
      <w:color w:val="954F72" w:themeColor="followedHyperlink"/>
      <w:u w:val="single"/>
    </w:rPr>
  </w:style>
  <w:style w:type="character" w:customStyle="1" w:styleId="LienInternet">
    <w:name w:val="Lien Internet"/>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53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w-b-e.be/jobs-carriere/evolution-de-carriere/emplois-vacants/" TargetMode="External"/><Relationship Id="rId17" Type="http://schemas.openxmlformats.org/officeDocument/2006/relationships/image" Target="media/image1.jp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election.promotion@w-b-e.be"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lection.promotion@w-b-e.be"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s://efcfmalonne.weebly.co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selection.promotion@w-b-e.be" TargetMode="External"/><Relationship Id="rId14" Type="http://schemas.openxmlformats.org/officeDocument/2006/relationships/header" Target="header1.xml"/><Relationship Id="rId22"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22C4B8A2F3343FB8157AA5FFF2D5B3A"/>
        <w:category>
          <w:name w:val="Général"/>
          <w:gallery w:val="placeholder"/>
        </w:category>
        <w:types>
          <w:type w:val="bbPlcHdr"/>
        </w:types>
        <w:behaviors>
          <w:behavior w:val="content"/>
        </w:behaviors>
        <w:guid w:val="{2E32BC21-E18A-47DD-988E-731C31659960}"/>
      </w:docPartPr>
      <w:docPartBody>
        <w:p>
          <w:pPr>
            <w:pStyle w:val="C22C4B8A2F3343FB8157AA5FFF2D5B3A"/>
          </w:pPr>
          <w:r>
            <w:rPr>
              <w:rStyle w:val="Textedelespacerserv"/>
            </w:rPr>
            <w:t>[Adresse société]</w:t>
          </w:r>
        </w:p>
      </w:docPartBody>
    </w:docPart>
    <w:docPart>
      <w:docPartPr>
        <w:name w:val="C1A32BC6A9ED4180A68271C259367FAC"/>
        <w:category>
          <w:name w:val="Général"/>
          <w:gallery w:val="placeholder"/>
        </w:category>
        <w:types>
          <w:type w:val="bbPlcHdr"/>
        </w:types>
        <w:behaviors>
          <w:behavior w:val="content"/>
        </w:behaviors>
        <w:guid w:val="{A5DDFAC2-3472-40AA-B115-FBFA4CBA77E4}"/>
      </w:docPartPr>
      <w:docPartBody>
        <w:p>
          <w:pPr>
            <w:pStyle w:val="C1A32BC6A9ED4180A68271C259367FAC"/>
          </w:pPr>
          <w:r>
            <w:rPr>
              <w:rStyle w:val="Textedelespacerserv"/>
            </w:rPr>
            <w:t>[Auteur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4036341E419A49F99BFFFB9FC01D7C3D">
    <w:name w:val="4036341E419A49F99BFFFB9FC01D7C3D"/>
  </w:style>
  <w:style w:type="paragraph" w:customStyle="1" w:styleId="8FDDBD0754E24377BF5119D64564F0E6">
    <w:name w:val="8FDDBD0754E24377BF5119D64564F0E6"/>
  </w:style>
  <w:style w:type="paragraph" w:customStyle="1" w:styleId="16E5E324ECF54EC7B3C6DB2AC946F64D">
    <w:name w:val="16E5E324ECF54EC7B3C6DB2AC946F64D"/>
  </w:style>
  <w:style w:type="paragraph" w:customStyle="1" w:styleId="00910196EA19406BBE0C03051DB80F04">
    <w:name w:val="00910196EA19406BBE0C03051DB80F04"/>
  </w:style>
  <w:style w:type="paragraph" w:customStyle="1" w:styleId="F899B1A7B54247B4B8F00DE972D9C7ED">
    <w:name w:val="F899B1A7B54247B4B8F00DE972D9C7ED"/>
  </w:style>
  <w:style w:type="paragraph" w:customStyle="1" w:styleId="E7AAF1DED7314C0787E81DA5143387C6">
    <w:name w:val="E7AAF1DED7314C0787E81DA5143387C6"/>
  </w:style>
  <w:style w:type="paragraph" w:customStyle="1" w:styleId="C22C4B8A2F3343FB8157AA5FFF2D5B3A">
    <w:name w:val="C22C4B8A2F3343FB8157AA5FFF2D5B3A"/>
  </w:style>
  <w:style w:type="paragraph" w:customStyle="1" w:styleId="C1A32BC6A9ED4180A68271C259367FAC">
    <w:name w:val="C1A32BC6A9ED4180A68271C259367F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4C5BD8D-EE53-4CE2-AB0D-17F1FA644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4184</Words>
  <Characters>23017</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27147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Ecole fondamentale</dc:creator>
  <cp:keywords/>
  <dc:description/>
  <cp:lastModifiedBy>ETNIC</cp:lastModifiedBy>
  <cp:revision>3</cp:revision>
  <dcterms:created xsi:type="dcterms:W3CDTF">2020-12-09T09:15:00Z</dcterms:created>
  <dcterms:modified xsi:type="dcterms:W3CDTF">2020-12-09T09:15:00Z</dcterms:modified>
</cp:coreProperties>
</file>